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25D" w:rsidRPr="00074384" w:rsidRDefault="0044525D" w:rsidP="0044525D">
      <w:pPr>
        <w:pStyle w:val="Ttulo"/>
        <w:widowControl w:val="0"/>
        <w:suppressAutoHyphens/>
        <w:spacing w:line="360" w:lineRule="auto"/>
        <w:ind w:right="13"/>
        <w:rPr>
          <w:i/>
          <w:sz w:val="28"/>
          <w:szCs w:val="28"/>
        </w:rPr>
      </w:pPr>
      <w:bookmarkStart w:id="0" w:name="_Hlk502682484"/>
      <w:r w:rsidRPr="00074384">
        <w:rPr>
          <w:i/>
          <w:sz w:val="28"/>
          <w:szCs w:val="28"/>
        </w:rPr>
        <w:t>Faculdade de Direito da Universidade Nova de Lisboa</w:t>
      </w:r>
    </w:p>
    <w:p w:rsidR="0044525D" w:rsidRDefault="0044525D" w:rsidP="0044525D">
      <w:pPr>
        <w:widowControl w:val="0"/>
        <w:suppressAutoHyphens/>
        <w:spacing w:line="360" w:lineRule="auto"/>
        <w:jc w:val="both"/>
      </w:pPr>
    </w:p>
    <w:p w:rsidR="0044525D" w:rsidRPr="00074384" w:rsidRDefault="0044525D" w:rsidP="0044525D">
      <w:pPr>
        <w:pStyle w:val="Ttulo"/>
        <w:widowControl w:val="0"/>
        <w:suppressAutoHyphens/>
        <w:spacing w:line="360" w:lineRule="auto"/>
        <w:ind w:right="13"/>
        <w:rPr>
          <w:sz w:val="26"/>
          <w:szCs w:val="26"/>
        </w:rPr>
      </w:pPr>
      <w:r w:rsidRPr="00074384">
        <w:rPr>
          <w:sz w:val="26"/>
          <w:szCs w:val="26"/>
        </w:rPr>
        <w:t>DIREITO INTERNACIONAL PRIVADO</w:t>
      </w:r>
    </w:p>
    <w:p w:rsidR="0044525D" w:rsidRDefault="0044525D" w:rsidP="0044525D">
      <w:pPr>
        <w:widowControl w:val="0"/>
        <w:suppressAutoHyphens/>
        <w:spacing w:line="360" w:lineRule="auto"/>
        <w:jc w:val="both"/>
      </w:pPr>
    </w:p>
    <w:p w:rsidR="0044525D" w:rsidRDefault="0044525D" w:rsidP="0044525D">
      <w:pPr>
        <w:widowControl w:val="0"/>
        <w:suppressAutoHyphens/>
        <w:spacing w:line="360" w:lineRule="auto"/>
        <w:ind w:right="13"/>
        <w:jc w:val="right"/>
      </w:pPr>
      <w:r>
        <w:t>22.01.2018</w:t>
      </w:r>
    </w:p>
    <w:p w:rsidR="0044525D" w:rsidRPr="00A54F3D" w:rsidRDefault="0044525D" w:rsidP="0044525D">
      <w:pPr>
        <w:widowControl w:val="0"/>
        <w:suppressAutoHyphens/>
        <w:jc w:val="center"/>
        <w:rPr>
          <w:b/>
        </w:rPr>
      </w:pPr>
      <w:r w:rsidRPr="00A54F3D">
        <w:rPr>
          <w:b/>
        </w:rPr>
        <w:t>I</w:t>
      </w:r>
    </w:p>
    <w:p w:rsidR="0044525D" w:rsidRPr="00A54F3D" w:rsidRDefault="0044525D" w:rsidP="0044525D">
      <w:pPr>
        <w:widowControl w:val="0"/>
        <w:suppressAutoHyphens/>
        <w:spacing w:line="360" w:lineRule="auto"/>
        <w:jc w:val="both"/>
      </w:pPr>
    </w:p>
    <w:p w:rsidR="0044525D" w:rsidRPr="000859B0" w:rsidRDefault="0044525D" w:rsidP="0044525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859B0">
        <w:rPr>
          <w:sz w:val="28"/>
          <w:szCs w:val="28"/>
        </w:rPr>
        <w:tab/>
        <w:t>Suponha a seguinte situação, inspirada num caso recentemente discutido em tribunais portugueses:</w:t>
      </w:r>
    </w:p>
    <w:p w:rsidR="0044525D" w:rsidRPr="0044525D" w:rsidRDefault="0044525D" w:rsidP="0044525D">
      <w:pPr>
        <w:widowControl w:val="0"/>
        <w:suppressAutoHyphens/>
      </w:pPr>
    </w:p>
    <w:p w:rsidR="0044525D" w:rsidRDefault="0044525D" w:rsidP="0044525D">
      <w:pPr>
        <w:widowControl w:val="0"/>
        <w:suppressAutoHyphens/>
        <w:spacing w:line="360" w:lineRule="auto"/>
        <w:jc w:val="both"/>
      </w:pPr>
      <w:r>
        <w:tab/>
        <w:t>Peter nasceu em 1945 em Londres; aí viveu durante a infância e a juventude e realizou os seus estudos. Nessa cidade casou com Antónia, portuguesa, em 1970; o casal teve duas filhas, Beatriz e Carolina, a quem foi atribuída a nacionalidade portuguesa.</w:t>
      </w:r>
    </w:p>
    <w:p w:rsidR="0044525D" w:rsidRDefault="0044525D" w:rsidP="0044525D">
      <w:pPr>
        <w:widowControl w:val="0"/>
        <w:suppressAutoHyphens/>
        <w:spacing w:line="360" w:lineRule="auto"/>
        <w:jc w:val="both"/>
      </w:pPr>
      <w:r>
        <w:tab/>
        <w:t xml:space="preserve">Em 1995, a família estabeleceu residência habitual no Porto, onde Peter passou a desenvolver a sua </w:t>
      </w:r>
      <w:proofErr w:type="spellStart"/>
      <w:r>
        <w:t>actividade</w:t>
      </w:r>
      <w:proofErr w:type="spellEnd"/>
      <w:r>
        <w:t xml:space="preserve"> empresarial de exportação de vinhos.</w:t>
      </w:r>
    </w:p>
    <w:p w:rsidR="0044525D" w:rsidRDefault="0044525D" w:rsidP="0044525D">
      <w:pPr>
        <w:widowControl w:val="0"/>
        <w:suppressAutoHyphens/>
        <w:spacing w:line="360" w:lineRule="auto"/>
        <w:jc w:val="both"/>
      </w:pPr>
      <w:r>
        <w:tab/>
        <w:t>O casamento de Peter e Antónia foi dissolvido por divórcio, mediante decisão proferida em Inglaterra, em 2000.</w:t>
      </w:r>
    </w:p>
    <w:p w:rsidR="0044525D" w:rsidRDefault="0044525D" w:rsidP="0044525D">
      <w:pPr>
        <w:widowControl w:val="0"/>
        <w:suppressAutoHyphens/>
        <w:spacing w:line="360" w:lineRule="auto"/>
        <w:jc w:val="both"/>
      </w:pPr>
      <w:r>
        <w:tab/>
        <w:t>Em 2010, Peter casou em Londres com Diana, cidadã da Estónia, em regime de separação de bens. O casal estabeleceu a sua residência habitual em Lisboa.</w:t>
      </w:r>
    </w:p>
    <w:p w:rsidR="0044525D" w:rsidRDefault="0044525D" w:rsidP="0044525D">
      <w:pPr>
        <w:widowControl w:val="0"/>
        <w:suppressAutoHyphens/>
        <w:spacing w:line="360" w:lineRule="auto"/>
        <w:jc w:val="both"/>
      </w:pPr>
      <w:r>
        <w:tab/>
        <w:t>Em Setembro de 2014, Peter, que manteve sempre a nacionalidade do Reino Unido, celebrou testamento cerrado aprovado por notário, em Lisboa, com o seguinte teor:</w:t>
      </w:r>
    </w:p>
    <w:p w:rsidR="0044525D" w:rsidRDefault="0044525D" w:rsidP="0044525D">
      <w:pPr>
        <w:widowControl w:val="0"/>
        <w:suppressAutoHyphens/>
      </w:pPr>
    </w:p>
    <w:p w:rsidR="0044525D" w:rsidRDefault="0044525D" w:rsidP="0044525D">
      <w:pPr>
        <w:widowControl w:val="0"/>
        <w:suppressAutoHyphens/>
        <w:spacing w:line="360" w:lineRule="auto"/>
        <w:ind w:left="709" w:hanging="709"/>
        <w:jc w:val="both"/>
      </w:pPr>
      <w:r>
        <w:tab/>
      </w:r>
      <w:r>
        <w:tab/>
        <w:t>“</w:t>
      </w:r>
      <w:r w:rsidRPr="00D64B59">
        <w:rPr>
          <w:i/>
        </w:rPr>
        <w:t xml:space="preserve">Deixo à minha mulher Diana todos os bens móveis, assim como todos os bens imóveis situados em Portugal e no Reino Unido da </w:t>
      </w:r>
      <w:proofErr w:type="gramStart"/>
      <w:r w:rsidRPr="00D64B59">
        <w:rPr>
          <w:i/>
        </w:rPr>
        <w:t>Grã Bretanha</w:t>
      </w:r>
      <w:proofErr w:type="gramEnd"/>
      <w:r w:rsidRPr="00D64B59">
        <w:rPr>
          <w:i/>
        </w:rPr>
        <w:t xml:space="preserve"> e da Irlanda do Norte que, à data da minha morte, me pertençam. Tendo a nacionalidade do Reino Unido, posso dispor livremente de todos os meus bens, de harmonia com a lei inglesa, que pretendo que seja aplicada, com afastamento de qualquer outra.</w:t>
      </w:r>
      <w:r>
        <w:t>”.</w:t>
      </w:r>
    </w:p>
    <w:p w:rsidR="0044525D" w:rsidRPr="000C3CBC" w:rsidRDefault="0044525D" w:rsidP="0044525D">
      <w:pPr>
        <w:widowControl w:val="0"/>
        <w:suppressAutoHyphens/>
        <w:rPr>
          <w:b/>
        </w:rPr>
      </w:pPr>
    </w:p>
    <w:p w:rsidR="004603C7" w:rsidRDefault="004603C7" w:rsidP="004603C7">
      <w:pPr>
        <w:widowControl w:val="0"/>
        <w:suppressAutoHyphens/>
        <w:spacing w:line="360" w:lineRule="auto"/>
        <w:jc w:val="both"/>
      </w:pPr>
      <w:r>
        <w:tab/>
        <w:t xml:space="preserve">Peter faleceu em Lisboa em </w:t>
      </w:r>
      <w:r w:rsidRPr="00D64B59">
        <w:rPr>
          <w:b/>
          <w:i/>
        </w:rPr>
        <w:t>Junho de 2015</w:t>
      </w:r>
      <w:r>
        <w:t xml:space="preserve">, deixando, além de bens móveis, alguns imóveis situados no Porto, em Lisboa </w:t>
      </w:r>
      <w:r w:rsidRPr="00D64B59">
        <w:t>e em Londres</w:t>
      </w:r>
      <w:r>
        <w:t>.</w:t>
      </w:r>
    </w:p>
    <w:p w:rsidR="0044525D" w:rsidRDefault="0044525D" w:rsidP="0044525D">
      <w:pPr>
        <w:widowControl w:val="0"/>
        <w:suppressAutoHyphens/>
        <w:spacing w:line="360" w:lineRule="auto"/>
        <w:ind w:right="13"/>
        <w:jc w:val="both"/>
      </w:pPr>
      <w:r>
        <w:tab/>
        <w:t xml:space="preserve">As filhas de Peter, Beatriz e Carolina, residentes em Portugal, impugnaram perante tribunal português a validade do testamento de Peter, invocando os artigos 2156º e seguintes do Código Civil português. Sustentam que é aplicável o direito português à sucessão do pai e, por isso, consideram-se herdeiras de Peter; se assim não se entender, estará a ser violada a ordem pública internacional do Estado Português. </w:t>
      </w:r>
    </w:p>
    <w:p w:rsidR="0044525D" w:rsidRDefault="0044525D" w:rsidP="0044525D">
      <w:pPr>
        <w:widowControl w:val="0"/>
        <w:suppressAutoHyphens/>
        <w:spacing w:line="360" w:lineRule="auto"/>
        <w:jc w:val="both"/>
      </w:pPr>
    </w:p>
    <w:p w:rsidR="0044525D" w:rsidRDefault="0044525D" w:rsidP="0044525D">
      <w:pPr>
        <w:widowControl w:val="0"/>
        <w:suppressAutoHyphens/>
        <w:spacing w:line="360" w:lineRule="auto"/>
        <w:jc w:val="both"/>
      </w:pPr>
      <w:r>
        <w:lastRenderedPageBreak/>
        <w:tab/>
      </w:r>
      <w:r w:rsidR="00480443">
        <w:t>C</w:t>
      </w:r>
      <w:r>
        <w:t>onsider</w:t>
      </w:r>
      <w:r w:rsidR="000859B0">
        <w:t>ando</w:t>
      </w:r>
      <w:r>
        <w:t xml:space="preserve"> provados os factos </w:t>
      </w:r>
      <w:r w:rsidR="00A216B2">
        <w:t xml:space="preserve">acima </w:t>
      </w:r>
      <w:r>
        <w:t>descritos e apenas esses e admit</w:t>
      </w:r>
      <w:r w:rsidR="000859B0">
        <w:t>indo</w:t>
      </w:r>
      <w:r>
        <w:t xml:space="preserve"> que:</w:t>
      </w:r>
    </w:p>
    <w:p w:rsidR="00480443" w:rsidRDefault="00480443" w:rsidP="00480443">
      <w:pPr>
        <w:widowControl w:val="0"/>
        <w:suppressAutoHyphens/>
        <w:jc w:val="both"/>
      </w:pPr>
    </w:p>
    <w:p w:rsidR="0044525D" w:rsidRDefault="0044525D" w:rsidP="0044525D">
      <w:pPr>
        <w:pStyle w:val="Corpodetexto"/>
        <w:widowControl w:val="0"/>
        <w:suppressAutoHyphens/>
        <w:spacing w:line="240" w:lineRule="auto"/>
        <w:rPr>
          <w:sz w:val="24"/>
        </w:rPr>
      </w:pPr>
      <w:r>
        <w:tab/>
      </w:r>
      <w:r w:rsidRPr="0048095F">
        <w:rPr>
          <w:i/>
          <w:sz w:val="24"/>
        </w:rPr>
        <w:t>a)</w:t>
      </w:r>
      <w:r>
        <w:rPr>
          <w:sz w:val="24"/>
        </w:rPr>
        <w:t xml:space="preserve"> O tribunal português é internacionalmente competente para se pronunciar sobre a questão;</w:t>
      </w:r>
    </w:p>
    <w:p w:rsidR="0044525D" w:rsidRDefault="0044525D" w:rsidP="0044525D">
      <w:pPr>
        <w:widowControl w:val="0"/>
        <w:suppressAutoHyphens/>
        <w:jc w:val="both"/>
      </w:pPr>
      <w:r>
        <w:tab/>
      </w:r>
      <w:r w:rsidRPr="0048095F">
        <w:rPr>
          <w:i/>
        </w:rPr>
        <w:t>b)</w:t>
      </w:r>
      <w:r>
        <w:t xml:space="preserve"> No Reino Unido vigora um ordenamento jurídico complexo, que não tem regras unificadas de direito </w:t>
      </w:r>
      <w:proofErr w:type="spellStart"/>
      <w:r>
        <w:t>interlocal</w:t>
      </w:r>
      <w:proofErr w:type="spellEnd"/>
      <w:r>
        <w:t xml:space="preserve"> nem de direito internacional privado;</w:t>
      </w:r>
    </w:p>
    <w:p w:rsidR="0044525D" w:rsidRDefault="0044525D" w:rsidP="0044525D">
      <w:pPr>
        <w:widowControl w:val="0"/>
        <w:suppressAutoHyphens/>
        <w:jc w:val="both"/>
      </w:pPr>
      <w:r>
        <w:tab/>
      </w:r>
      <w:r w:rsidRPr="0048095F">
        <w:rPr>
          <w:i/>
        </w:rPr>
        <w:t>c)</w:t>
      </w:r>
      <w:r>
        <w:t xml:space="preserve"> As normas de conflitos inglesas sujeitam as questões sucessórias </w:t>
      </w:r>
      <w:r w:rsidR="007478D7">
        <w:t xml:space="preserve">à lei do último domicílio do </w:t>
      </w:r>
      <w:r w:rsidR="007478D7" w:rsidRPr="007478D7">
        <w:rPr>
          <w:i/>
        </w:rPr>
        <w:t xml:space="preserve">de </w:t>
      </w:r>
      <w:proofErr w:type="spellStart"/>
      <w:r w:rsidR="007478D7" w:rsidRPr="007478D7">
        <w:rPr>
          <w:i/>
        </w:rPr>
        <w:t>cuius</w:t>
      </w:r>
      <w:proofErr w:type="spellEnd"/>
      <w:r w:rsidR="007478D7">
        <w:t>, quanto aos móveis, e à lei do lugar da situação, quanto</w:t>
      </w:r>
      <w:r>
        <w:t xml:space="preserve"> a</w:t>
      </w:r>
      <w:r w:rsidR="007478D7">
        <w:t>os</w:t>
      </w:r>
      <w:r>
        <w:t xml:space="preserve"> imóveis;</w:t>
      </w:r>
    </w:p>
    <w:p w:rsidR="0044525D" w:rsidRDefault="0044525D" w:rsidP="0044525D">
      <w:pPr>
        <w:widowControl w:val="0"/>
        <w:suppressAutoHyphens/>
        <w:jc w:val="both"/>
      </w:pPr>
      <w:r>
        <w:tab/>
      </w:r>
      <w:r w:rsidRPr="0048095F">
        <w:rPr>
          <w:i/>
        </w:rPr>
        <w:t>d)</w:t>
      </w:r>
      <w:r>
        <w:t xml:space="preserve"> Os tribunais ingleses </w:t>
      </w:r>
      <w:proofErr w:type="spellStart"/>
      <w:r>
        <w:t>adoptam</w:t>
      </w:r>
      <w:proofErr w:type="spellEnd"/>
      <w:r>
        <w:t xml:space="preserve"> a teoria da dupla devolução ou devolução integral; </w:t>
      </w:r>
    </w:p>
    <w:p w:rsidR="004603C7" w:rsidRDefault="0044525D" w:rsidP="004603C7">
      <w:pPr>
        <w:widowControl w:val="0"/>
        <w:suppressAutoHyphens/>
        <w:ind w:right="13"/>
        <w:jc w:val="both"/>
      </w:pPr>
      <w:r>
        <w:tab/>
      </w:r>
      <w:r w:rsidRPr="0048095F">
        <w:rPr>
          <w:i/>
        </w:rPr>
        <w:t>e)</w:t>
      </w:r>
      <w:r>
        <w:t xml:space="preserve"> O direito inglês admite a plena liberdade de testar</w:t>
      </w:r>
      <w:r w:rsidR="004603C7">
        <w:t>;</w:t>
      </w:r>
    </w:p>
    <w:p w:rsidR="0044525D" w:rsidRDefault="004603C7" w:rsidP="004603C7">
      <w:pPr>
        <w:widowControl w:val="0"/>
        <w:suppressAutoHyphens/>
        <w:ind w:right="13"/>
        <w:jc w:val="both"/>
      </w:pPr>
      <w:r>
        <w:tab/>
      </w:r>
      <w:r>
        <w:rPr>
          <w:i/>
        </w:rPr>
        <w:t>f</w:t>
      </w:r>
      <w:r w:rsidRPr="0048095F">
        <w:rPr>
          <w:i/>
        </w:rPr>
        <w:t>)</w:t>
      </w:r>
      <w:r>
        <w:t xml:space="preserve"> Os direitos envolvidos consideram que Peter teve o seu último domicílio em Portugal</w:t>
      </w:r>
      <w:r w:rsidR="000859B0">
        <w:t>,</w:t>
      </w:r>
    </w:p>
    <w:p w:rsidR="0044525D" w:rsidRDefault="0044525D" w:rsidP="00A216B2">
      <w:pPr>
        <w:widowControl w:val="0"/>
        <w:suppressAutoHyphens/>
        <w:spacing w:line="360" w:lineRule="auto"/>
        <w:jc w:val="both"/>
      </w:pPr>
    </w:p>
    <w:p w:rsidR="000859B0" w:rsidRPr="000859B0" w:rsidRDefault="000859B0" w:rsidP="000859B0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859B0">
        <w:rPr>
          <w:sz w:val="28"/>
          <w:szCs w:val="28"/>
        </w:rPr>
        <w:t xml:space="preserve">responda </w:t>
      </w:r>
      <w:proofErr w:type="spellStart"/>
      <w:r w:rsidRPr="000859B0">
        <w:rPr>
          <w:sz w:val="28"/>
          <w:szCs w:val="28"/>
        </w:rPr>
        <w:t>directamente</w:t>
      </w:r>
      <w:proofErr w:type="spellEnd"/>
      <w:r w:rsidRPr="000859B0">
        <w:rPr>
          <w:sz w:val="28"/>
          <w:szCs w:val="28"/>
        </w:rPr>
        <w:t xml:space="preserve"> às seguintes questões, justificando as soluções que </w:t>
      </w:r>
      <w:proofErr w:type="spellStart"/>
      <w:r w:rsidRPr="000859B0">
        <w:rPr>
          <w:sz w:val="28"/>
          <w:szCs w:val="28"/>
        </w:rPr>
        <w:t>adoptar</w:t>
      </w:r>
      <w:proofErr w:type="spellEnd"/>
      <w:r w:rsidRPr="000859B0">
        <w:rPr>
          <w:sz w:val="28"/>
          <w:szCs w:val="28"/>
        </w:rPr>
        <w:t>:</w:t>
      </w:r>
    </w:p>
    <w:p w:rsidR="000859B0" w:rsidRPr="0044525D" w:rsidRDefault="000859B0" w:rsidP="000859B0">
      <w:pPr>
        <w:widowControl w:val="0"/>
        <w:suppressAutoHyphens/>
        <w:jc w:val="both"/>
      </w:pPr>
    </w:p>
    <w:p w:rsidR="000859B0" w:rsidRDefault="000859B0" w:rsidP="000859B0">
      <w:pPr>
        <w:widowControl w:val="0"/>
        <w:suppressAutoHyphens/>
        <w:spacing w:line="360" w:lineRule="auto"/>
        <w:jc w:val="both"/>
      </w:pPr>
      <w:r>
        <w:tab/>
      </w:r>
      <w:r w:rsidRPr="0048095F">
        <w:rPr>
          <w:b/>
        </w:rPr>
        <w:t>1ª</w:t>
      </w:r>
      <w:r>
        <w:t xml:space="preserve"> – Qual é, em sua opinião, a lei aplicável à sucessão de Peter?</w:t>
      </w:r>
    </w:p>
    <w:p w:rsidR="000859B0" w:rsidRPr="0044525D" w:rsidRDefault="000859B0" w:rsidP="000859B0">
      <w:pPr>
        <w:widowControl w:val="0"/>
        <w:suppressAutoHyphens/>
        <w:jc w:val="both"/>
      </w:pPr>
    </w:p>
    <w:p w:rsidR="000859B0" w:rsidRDefault="000859B0" w:rsidP="000859B0">
      <w:pPr>
        <w:widowControl w:val="0"/>
        <w:suppressAutoHyphens/>
        <w:spacing w:line="360" w:lineRule="auto"/>
        <w:jc w:val="both"/>
      </w:pPr>
      <w:r>
        <w:tab/>
      </w:r>
      <w:r w:rsidRPr="0048095F">
        <w:rPr>
          <w:b/>
        </w:rPr>
        <w:t>2ª</w:t>
      </w:r>
      <w:r>
        <w:t xml:space="preserve"> – Independentemente da </w:t>
      </w:r>
      <w:r w:rsidR="00074384">
        <w:t>conclusão a que chegou na resposta anterior</w:t>
      </w:r>
      <w:r>
        <w:t>, e supondo que seria competente o direito inglês, diga se se justifica invocar, no caso, a ordem pública internacional do Estado Português.</w:t>
      </w:r>
    </w:p>
    <w:p w:rsidR="000859B0" w:rsidRPr="00A216B2" w:rsidRDefault="000859B0" w:rsidP="00A216B2">
      <w:pPr>
        <w:widowControl w:val="0"/>
        <w:suppressAutoHyphens/>
        <w:spacing w:line="360" w:lineRule="auto"/>
        <w:jc w:val="both"/>
      </w:pPr>
    </w:p>
    <w:p w:rsidR="0044525D" w:rsidRPr="00A54F3D" w:rsidRDefault="0044525D" w:rsidP="0044525D">
      <w:pPr>
        <w:widowControl w:val="0"/>
        <w:suppressAutoHyphens/>
        <w:jc w:val="center"/>
        <w:rPr>
          <w:b/>
        </w:rPr>
      </w:pPr>
      <w:r>
        <w:rPr>
          <w:b/>
        </w:rPr>
        <w:t>II</w:t>
      </w:r>
    </w:p>
    <w:p w:rsidR="0044525D" w:rsidRPr="00A216B2" w:rsidRDefault="0044525D" w:rsidP="00A216B2">
      <w:pPr>
        <w:widowControl w:val="0"/>
        <w:suppressAutoHyphens/>
        <w:spacing w:line="360" w:lineRule="auto"/>
        <w:jc w:val="both"/>
      </w:pPr>
    </w:p>
    <w:p w:rsidR="0044525D" w:rsidRDefault="0044525D" w:rsidP="0044525D">
      <w:pPr>
        <w:widowControl w:val="0"/>
        <w:suppressAutoHyphens/>
        <w:spacing w:line="360" w:lineRule="auto"/>
        <w:jc w:val="both"/>
      </w:pPr>
      <w:r>
        <w:tab/>
        <w:t xml:space="preserve">Refira-se ao </w:t>
      </w:r>
      <w:r w:rsidR="00E3533D">
        <w:t>aumento</w:t>
      </w:r>
      <w:r>
        <w:t xml:space="preserve"> </w:t>
      </w:r>
      <w:r w:rsidR="00E3533D">
        <w:t xml:space="preserve">da relevância </w:t>
      </w:r>
      <w:r>
        <w:t xml:space="preserve">do princípio da autonomia privada em Direito Internacional Privado no sistema </w:t>
      </w:r>
      <w:proofErr w:type="spellStart"/>
      <w:r>
        <w:t>actualmente</w:t>
      </w:r>
      <w:proofErr w:type="spellEnd"/>
      <w:r>
        <w:t xml:space="preserve"> em vigor no ordenamento jurídico português</w:t>
      </w:r>
      <w:bookmarkStart w:id="1" w:name="_Hlk503780908"/>
      <w:r w:rsidR="00DB6B4E">
        <w:t>.</w:t>
      </w:r>
      <w:r>
        <w:t xml:space="preserve"> </w:t>
      </w:r>
      <w:r w:rsidR="00DB6B4E">
        <w:t>I</w:t>
      </w:r>
      <w:r>
        <w:t>lustr</w:t>
      </w:r>
      <w:r w:rsidR="00DB6B4E">
        <w:t>e</w:t>
      </w:r>
      <w:r>
        <w:t xml:space="preserve"> com exemplos</w:t>
      </w:r>
      <w:r w:rsidR="00DB6B4E">
        <w:t>, explicando, em cada caso, o alcance do princípio</w:t>
      </w:r>
      <w:bookmarkEnd w:id="1"/>
      <w:r>
        <w:t>.</w:t>
      </w:r>
    </w:p>
    <w:p w:rsidR="0044525D" w:rsidRDefault="0044525D" w:rsidP="00A216B2">
      <w:pPr>
        <w:widowControl w:val="0"/>
        <w:suppressAutoHyphens/>
        <w:spacing w:line="360" w:lineRule="auto"/>
        <w:jc w:val="both"/>
      </w:pPr>
    </w:p>
    <w:p w:rsidR="0044525D" w:rsidRPr="00A54F3D" w:rsidRDefault="0044525D" w:rsidP="0044525D">
      <w:pPr>
        <w:widowControl w:val="0"/>
        <w:suppressAutoHyphens/>
        <w:jc w:val="center"/>
        <w:rPr>
          <w:b/>
        </w:rPr>
      </w:pPr>
      <w:r w:rsidRPr="00A54F3D">
        <w:rPr>
          <w:b/>
        </w:rPr>
        <w:t>III</w:t>
      </w:r>
    </w:p>
    <w:p w:rsidR="0044525D" w:rsidRPr="00A54F3D" w:rsidRDefault="0044525D" w:rsidP="00A216B2">
      <w:pPr>
        <w:widowControl w:val="0"/>
        <w:suppressAutoHyphens/>
        <w:spacing w:line="360" w:lineRule="auto"/>
        <w:jc w:val="both"/>
      </w:pPr>
    </w:p>
    <w:p w:rsidR="0044525D" w:rsidRPr="00A54F3D" w:rsidRDefault="0044525D" w:rsidP="0044525D">
      <w:pPr>
        <w:widowControl w:val="0"/>
        <w:suppressAutoHyphens/>
        <w:spacing w:line="360" w:lineRule="auto"/>
        <w:ind w:right="52"/>
        <w:jc w:val="both"/>
      </w:pPr>
      <w:r w:rsidRPr="00A54F3D">
        <w:tab/>
        <w:t>Diga o que entende por:</w:t>
      </w:r>
    </w:p>
    <w:p w:rsidR="0044525D" w:rsidRPr="00A54F3D" w:rsidRDefault="0044525D" w:rsidP="0044525D">
      <w:pPr>
        <w:widowControl w:val="0"/>
        <w:suppressAutoHyphens/>
        <w:spacing w:line="360" w:lineRule="auto"/>
        <w:ind w:right="52"/>
        <w:jc w:val="both"/>
      </w:pPr>
      <w:r w:rsidRPr="00A54F3D">
        <w:tab/>
      </w:r>
      <w:r>
        <w:rPr>
          <w:i/>
        </w:rPr>
        <w:t>a</w:t>
      </w:r>
      <w:r w:rsidRPr="00A54F3D">
        <w:rPr>
          <w:i/>
        </w:rPr>
        <w:t>)</w:t>
      </w:r>
      <w:r w:rsidRPr="00A54F3D">
        <w:tab/>
        <w:t xml:space="preserve">Norma de conflitos de conexão </w:t>
      </w:r>
      <w:r w:rsidRPr="00A54F3D">
        <w:rPr>
          <w:i/>
        </w:rPr>
        <w:t>dependente</w:t>
      </w:r>
      <w:r>
        <w:t>;</w:t>
      </w:r>
    </w:p>
    <w:p w:rsidR="0044525D" w:rsidRPr="00A54F3D" w:rsidRDefault="0044525D" w:rsidP="0044525D">
      <w:pPr>
        <w:widowControl w:val="0"/>
        <w:suppressAutoHyphens/>
        <w:spacing w:line="360" w:lineRule="auto"/>
        <w:ind w:right="52"/>
        <w:jc w:val="both"/>
      </w:pPr>
      <w:r w:rsidRPr="00A54F3D">
        <w:tab/>
      </w:r>
      <w:r>
        <w:rPr>
          <w:i/>
        </w:rPr>
        <w:t>b</w:t>
      </w:r>
      <w:r w:rsidRPr="00A54F3D">
        <w:rPr>
          <w:i/>
        </w:rPr>
        <w:t>)</w:t>
      </w:r>
      <w:r w:rsidRPr="00A54F3D">
        <w:tab/>
        <w:t xml:space="preserve">Norma de conflitos de conexão </w:t>
      </w:r>
      <w:r w:rsidRPr="00A54F3D">
        <w:rPr>
          <w:i/>
        </w:rPr>
        <w:t>subsidiária</w:t>
      </w:r>
      <w:r w:rsidRPr="00A54F3D">
        <w:t>;</w:t>
      </w:r>
    </w:p>
    <w:p w:rsidR="0044525D" w:rsidRPr="00A54F3D" w:rsidRDefault="0044525D" w:rsidP="0044525D">
      <w:pPr>
        <w:widowControl w:val="0"/>
        <w:suppressAutoHyphens/>
        <w:spacing w:line="360" w:lineRule="auto"/>
        <w:ind w:right="52"/>
        <w:jc w:val="both"/>
      </w:pPr>
      <w:r w:rsidRPr="00A54F3D">
        <w:tab/>
      </w:r>
      <w:r>
        <w:rPr>
          <w:i/>
        </w:rPr>
        <w:t>c</w:t>
      </w:r>
      <w:r w:rsidRPr="00A54F3D">
        <w:rPr>
          <w:i/>
        </w:rPr>
        <w:t>)</w:t>
      </w:r>
      <w:r w:rsidRPr="00A54F3D">
        <w:tab/>
        <w:t xml:space="preserve">Norma de conflitos de conexão </w:t>
      </w:r>
      <w:r w:rsidRPr="00A54F3D">
        <w:rPr>
          <w:i/>
        </w:rPr>
        <w:t>alternativa</w:t>
      </w:r>
      <w:r>
        <w:t>.</w:t>
      </w:r>
    </w:p>
    <w:p w:rsidR="0044525D" w:rsidRPr="00A54F3D" w:rsidRDefault="0044525D" w:rsidP="0044525D">
      <w:pPr>
        <w:widowControl w:val="0"/>
        <w:suppressAutoHyphens/>
      </w:pPr>
    </w:p>
    <w:p w:rsidR="0044525D" w:rsidRDefault="0044525D" w:rsidP="0044525D">
      <w:pPr>
        <w:widowControl w:val="0"/>
        <w:suppressAutoHyphens/>
        <w:spacing w:line="360" w:lineRule="auto"/>
        <w:jc w:val="both"/>
      </w:pPr>
      <w:r w:rsidRPr="00A54F3D">
        <w:tab/>
        <w:t>Exemplifique com normas contidas no</w:t>
      </w:r>
      <w:r>
        <w:t xml:space="preserve"> </w:t>
      </w:r>
      <w:r w:rsidRPr="004B154D">
        <w:t>Regulamento sobre a lei aplicável às obrigações contratuais</w:t>
      </w:r>
      <w:r>
        <w:t xml:space="preserve"> (Roma I)</w:t>
      </w:r>
      <w:r w:rsidR="00A216B2">
        <w:t>.</w:t>
      </w:r>
    </w:p>
    <w:p w:rsidR="0044525D" w:rsidRDefault="0044525D" w:rsidP="000859B0">
      <w:pPr>
        <w:widowControl w:val="0"/>
        <w:suppressAutoHyphens/>
      </w:pPr>
    </w:p>
    <w:p w:rsidR="0044525D" w:rsidRDefault="0044525D" w:rsidP="000859B0">
      <w:pPr>
        <w:widowControl w:val="0"/>
        <w:suppressAutoHyphens/>
      </w:pPr>
    </w:p>
    <w:p w:rsidR="000859B0" w:rsidRDefault="000859B0" w:rsidP="000859B0">
      <w:pPr>
        <w:widowControl w:val="0"/>
        <w:suppressAutoHyphens/>
      </w:pPr>
    </w:p>
    <w:p w:rsidR="0044525D" w:rsidRPr="00A54F3D" w:rsidRDefault="0044525D" w:rsidP="000859B0">
      <w:pPr>
        <w:widowControl w:val="0"/>
        <w:suppressAutoHyphens/>
      </w:pPr>
    </w:p>
    <w:p w:rsidR="0044525D" w:rsidRPr="00A54F3D" w:rsidRDefault="0044525D" w:rsidP="0044525D">
      <w:pPr>
        <w:widowControl w:val="0"/>
        <w:suppressAutoHyphens/>
        <w:spacing w:line="360" w:lineRule="auto"/>
        <w:ind w:right="13"/>
        <w:jc w:val="both"/>
      </w:pPr>
      <w:r w:rsidRPr="00A54F3D">
        <w:rPr>
          <w:b/>
        </w:rPr>
        <w:t>Duração</w:t>
      </w:r>
      <w:r w:rsidRPr="00A54F3D">
        <w:t>:</w:t>
      </w:r>
      <w:r w:rsidRPr="00A54F3D">
        <w:tab/>
        <w:t>3 horas.</w:t>
      </w:r>
    </w:p>
    <w:p w:rsidR="0044525D" w:rsidRPr="00A54F3D" w:rsidRDefault="0044525D" w:rsidP="0044525D">
      <w:pPr>
        <w:widowControl w:val="0"/>
        <w:suppressAutoHyphens/>
        <w:spacing w:line="360" w:lineRule="auto"/>
        <w:ind w:right="52"/>
        <w:jc w:val="both"/>
      </w:pPr>
      <w:r w:rsidRPr="00A54F3D">
        <w:rPr>
          <w:b/>
        </w:rPr>
        <w:t>Cotação</w:t>
      </w:r>
      <w:r w:rsidRPr="00A54F3D">
        <w:t>:</w:t>
      </w:r>
      <w:r w:rsidRPr="00A54F3D">
        <w:tab/>
      </w:r>
      <w:r w:rsidRPr="000859B0">
        <w:rPr>
          <w:b/>
        </w:rPr>
        <w:t>I</w:t>
      </w:r>
      <w:r>
        <w:t xml:space="preserve"> – </w:t>
      </w:r>
      <w:bookmarkStart w:id="2" w:name="_Hlk502682632"/>
      <w:r>
        <w:t xml:space="preserve">6+4; </w:t>
      </w:r>
      <w:r w:rsidRPr="000859B0">
        <w:rPr>
          <w:b/>
        </w:rPr>
        <w:t>II</w:t>
      </w:r>
      <w:r>
        <w:t xml:space="preserve"> – </w:t>
      </w:r>
      <w:bookmarkStart w:id="3" w:name="_Hlk503780955"/>
      <w:r w:rsidR="00DB6B4E">
        <w:t>5,5</w:t>
      </w:r>
      <w:r>
        <w:t xml:space="preserve">; </w:t>
      </w:r>
      <w:r w:rsidRPr="000859B0">
        <w:rPr>
          <w:b/>
        </w:rPr>
        <w:t>III</w:t>
      </w:r>
      <w:r>
        <w:t xml:space="preserve"> – </w:t>
      </w:r>
      <w:bookmarkEnd w:id="2"/>
      <w:r w:rsidR="00DB6B4E">
        <w:t>1,5</w:t>
      </w:r>
      <w:r w:rsidRPr="00A54F3D">
        <w:t>+</w:t>
      </w:r>
      <w:r w:rsidR="00DB6B4E">
        <w:t>1,5</w:t>
      </w:r>
      <w:r w:rsidRPr="00A54F3D">
        <w:t>+</w:t>
      </w:r>
      <w:r w:rsidR="00DB6B4E">
        <w:t>1,5</w:t>
      </w:r>
      <w:bookmarkEnd w:id="3"/>
      <w:r w:rsidRPr="00A54F3D">
        <w:t>.</w:t>
      </w:r>
      <w:bookmarkEnd w:id="0"/>
    </w:p>
    <w:sectPr w:rsidR="0044525D" w:rsidRPr="00A54F3D" w:rsidSect="00217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39"/>
    <w:rsid w:val="00074384"/>
    <w:rsid w:val="000859B0"/>
    <w:rsid w:val="00217439"/>
    <w:rsid w:val="00382B4A"/>
    <w:rsid w:val="0044525D"/>
    <w:rsid w:val="004603C7"/>
    <w:rsid w:val="00480443"/>
    <w:rsid w:val="005369A4"/>
    <w:rsid w:val="00592BCA"/>
    <w:rsid w:val="00624F32"/>
    <w:rsid w:val="006452FC"/>
    <w:rsid w:val="006633E6"/>
    <w:rsid w:val="007478D7"/>
    <w:rsid w:val="00A216B2"/>
    <w:rsid w:val="00A36086"/>
    <w:rsid w:val="00D95D19"/>
    <w:rsid w:val="00DB6B4E"/>
    <w:rsid w:val="00E16B74"/>
    <w:rsid w:val="00E3533D"/>
    <w:rsid w:val="00E45831"/>
    <w:rsid w:val="00E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6354E-8C33-4A78-ADF9-1C37E3D9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217439"/>
    <w:pPr>
      <w:jc w:val="center"/>
    </w:pPr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217439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217439"/>
    <w:pPr>
      <w:spacing w:line="360" w:lineRule="auto"/>
      <w:jc w:val="both"/>
    </w:pPr>
    <w:rPr>
      <w:sz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217439"/>
    <w:rPr>
      <w:rFonts w:ascii="Times New Roman" w:eastAsia="Times New Roman" w:hAnsi="Times New Roman" w:cs="Times New Roman"/>
      <w:sz w:val="26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Gabriela Picançoღ</cp:lastModifiedBy>
  <cp:revision>2</cp:revision>
  <dcterms:created xsi:type="dcterms:W3CDTF">2020-09-22T08:27:00Z</dcterms:created>
  <dcterms:modified xsi:type="dcterms:W3CDTF">2020-09-22T08:27:00Z</dcterms:modified>
</cp:coreProperties>
</file>