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F409" w14:textId="77777777" w:rsidR="00C25344" w:rsidRPr="00A423BD" w:rsidRDefault="00C25344" w:rsidP="00290B7A">
      <w:pPr>
        <w:spacing w:line="276" w:lineRule="auto"/>
        <w:jc w:val="both"/>
        <w:rPr>
          <w:rFonts w:asciiTheme="minorHAnsi" w:hAnsiTheme="minorHAnsi"/>
        </w:rPr>
      </w:pPr>
    </w:p>
    <w:p w14:paraId="2721ED07" w14:textId="4930AC06" w:rsidR="00883A05" w:rsidRPr="006E7BCA" w:rsidRDefault="00986D34" w:rsidP="00290B7A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6E7BCA">
        <w:rPr>
          <w:rFonts w:asciiTheme="minorHAnsi" w:hAnsiTheme="minorHAnsi"/>
          <w:b/>
          <w:sz w:val="28"/>
          <w:szCs w:val="28"/>
          <w:lang w:val="en-GB"/>
        </w:rPr>
        <w:t>International Economic Law</w:t>
      </w:r>
      <w:r w:rsidR="008F34A0" w:rsidRPr="006E7BCA">
        <w:rPr>
          <w:rFonts w:asciiTheme="minorHAnsi" w:hAnsiTheme="minorHAnsi"/>
          <w:b/>
          <w:sz w:val="28"/>
          <w:szCs w:val="28"/>
          <w:lang w:val="en-GB"/>
        </w:rPr>
        <w:t xml:space="preserve"> (M</w:t>
      </w:r>
      <w:r w:rsidR="003F4F51" w:rsidRPr="006E7BCA">
        <w:rPr>
          <w:rFonts w:asciiTheme="minorHAnsi" w:hAnsiTheme="minorHAnsi"/>
          <w:b/>
          <w:sz w:val="28"/>
          <w:szCs w:val="28"/>
          <w:lang w:val="en-GB"/>
        </w:rPr>
        <w:t>M</w:t>
      </w:r>
      <w:r w:rsidR="008F34A0" w:rsidRPr="006E7BCA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BC6625" w:rsidRPr="006E7BCA">
        <w:rPr>
          <w:rFonts w:asciiTheme="minorHAnsi" w:hAnsiTheme="minorHAnsi"/>
          <w:b/>
          <w:sz w:val="28"/>
          <w:szCs w:val="28"/>
          <w:lang w:val="en-GB"/>
        </w:rPr>
        <w:t>1</w:t>
      </w:r>
      <w:r w:rsidR="008F34A0" w:rsidRPr="006E7BCA">
        <w:rPr>
          <w:rFonts w:asciiTheme="minorHAnsi" w:hAnsiTheme="minorHAnsi"/>
          <w:b/>
          <w:sz w:val="28"/>
          <w:szCs w:val="28"/>
          <w:lang w:val="en-GB"/>
        </w:rPr>
        <w:t>21</w:t>
      </w:r>
      <w:r w:rsidR="00BC6625" w:rsidRPr="006E7BCA">
        <w:rPr>
          <w:rFonts w:asciiTheme="minorHAnsi" w:hAnsiTheme="minorHAnsi"/>
          <w:b/>
          <w:sz w:val="28"/>
          <w:szCs w:val="28"/>
          <w:lang w:val="en-GB"/>
        </w:rPr>
        <w:t>)</w:t>
      </w:r>
    </w:p>
    <w:p w14:paraId="003BE1AB" w14:textId="52546DF3" w:rsidR="00BC6625" w:rsidRPr="006E7BCA" w:rsidRDefault="00986D34" w:rsidP="00290B7A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6E7BCA">
        <w:rPr>
          <w:rFonts w:asciiTheme="minorHAnsi" w:hAnsiTheme="minorHAnsi"/>
          <w:b/>
          <w:sz w:val="28"/>
          <w:szCs w:val="28"/>
          <w:lang w:val="en-GB"/>
        </w:rPr>
        <w:t>F</w:t>
      </w:r>
      <w:r w:rsidR="00BC6625" w:rsidRPr="006E7BCA">
        <w:rPr>
          <w:rFonts w:asciiTheme="minorHAnsi" w:hAnsiTheme="minorHAnsi"/>
          <w:b/>
          <w:sz w:val="28"/>
          <w:szCs w:val="28"/>
          <w:lang w:val="en-GB"/>
        </w:rPr>
        <w:t>inal</w:t>
      </w:r>
      <w:r w:rsidRPr="006E7BCA">
        <w:rPr>
          <w:rFonts w:asciiTheme="minorHAnsi" w:hAnsiTheme="minorHAnsi"/>
          <w:b/>
          <w:sz w:val="28"/>
          <w:szCs w:val="28"/>
          <w:lang w:val="en-GB"/>
        </w:rPr>
        <w:t xml:space="preserve"> exam</w:t>
      </w:r>
    </w:p>
    <w:p w14:paraId="64548123" w14:textId="77777777" w:rsidR="00883A05" w:rsidRPr="00986D34" w:rsidRDefault="00883A05" w:rsidP="00BC6625">
      <w:pPr>
        <w:spacing w:line="276" w:lineRule="auto"/>
        <w:rPr>
          <w:rFonts w:asciiTheme="minorHAnsi" w:hAnsiTheme="minorHAnsi"/>
          <w:lang w:val="en-GB"/>
        </w:rPr>
      </w:pPr>
    </w:p>
    <w:p w14:paraId="43269F96" w14:textId="77777777" w:rsidR="00986D34" w:rsidRPr="00986D34" w:rsidRDefault="00986D34" w:rsidP="00986D34">
      <w:pPr>
        <w:spacing w:line="276" w:lineRule="auto"/>
        <w:rPr>
          <w:rFonts w:asciiTheme="minorHAnsi" w:hAnsiTheme="minorHAnsi"/>
          <w:b/>
          <w:u w:val="single"/>
          <w:lang w:val="en-GB"/>
        </w:rPr>
      </w:pPr>
      <w:r w:rsidRPr="00986D34">
        <w:rPr>
          <w:rFonts w:asciiTheme="minorHAnsi" w:hAnsiTheme="minorHAnsi"/>
          <w:b/>
          <w:u w:val="single"/>
          <w:lang w:val="en-GB"/>
        </w:rPr>
        <w:t>Instructions:</w:t>
      </w:r>
    </w:p>
    <w:p w14:paraId="6285197E" w14:textId="77777777" w:rsidR="006E7BCA" w:rsidRPr="00390579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 w:rsidRPr="00390579">
        <w:rPr>
          <w:rFonts w:asciiTheme="minorHAnsi" w:hAnsiTheme="minorHAnsi"/>
          <w:lang w:val="en-GB"/>
        </w:rPr>
        <w:t xml:space="preserve">The exam has the total duration of 180 minutes </w:t>
      </w:r>
    </w:p>
    <w:p w14:paraId="272FDB41" w14:textId="77777777" w:rsidR="006E7BCA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 w:rsidRPr="00FA3251">
        <w:rPr>
          <w:rFonts w:asciiTheme="minorHAnsi" w:hAnsiTheme="minorHAnsi"/>
          <w:lang w:val="en-GB"/>
        </w:rPr>
        <w:t xml:space="preserve">The exam is composed of </w:t>
      </w:r>
      <w:r>
        <w:rPr>
          <w:rFonts w:asciiTheme="minorHAnsi" w:hAnsiTheme="minorHAnsi"/>
          <w:lang w:val="en-GB"/>
        </w:rPr>
        <w:t>three</w:t>
      </w:r>
      <w:r w:rsidRPr="00FA3251">
        <w:rPr>
          <w:rFonts w:asciiTheme="minorHAnsi" w:hAnsiTheme="minorHAnsi"/>
          <w:lang w:val="en-GB"/>
        </w:rPr>
        <w:t xml:space="preserve"> parts (A</w:t>
      </w:r>
      <w:r>
        <w:rPr>
          <w:rFonts w:asciiTheme="minorHAnsi" w:hAnsiTheme="minorHAnsi"/>
          <w:lang w:val="en-GB"/>
        </w:rPr>
        <w:t>, B</w:t>
      </w:r>
      <w:r w:rsidRPr="00FA3251">
        <w:rPr>
          <w:rFonts w:asciiTheme="minorHAnsi" w:hAnsiTheme="minorHAnsi"/>
          <w:lang w:val="en-GB"/>
        </w:rPr>
        <w:t xml:space="preserve"> and </w:t>
      </w:r>
      <w:r>
        <w:rPr>
          <w:rFonts w:asciiTheme="minorHAnsi" w:hAnsiTheme="minorHAnsi"/>
          <w:lang w:val="en-GB"/>
        </w:rPr>
        <w:t>C</w:t>
      </w:r>
      <w:r w:rsidRPr="00FA3251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 xml:space="preserve">. Out of each part, you should select </w:t>
      </w:r>
      <w:r>
        <w:rPr>
          <w:rFonts w:asciiTheme="minorHAnsi" w:hAnsiTheme="minorHAnsi"/>
          <w:i/>
          <w:lang w:val="en-GB"/>
        </w:rPr>
        <w:t xml:space="preserve">one </w:t>
      </w:r>
      <w:r>
        <w:rPr>
          <w:rFonts w:asciiTheme="minorHAnsi" w:hAnsiTheme="minorHAnsi"/>
          <w:lang w:val="en-GB"/>
        </w:rPr>
        <w:t xml:space="preserve">option. </w:t>
      </w:r>
    </w:p>
    <w:p w14:paraId="71FB1657" w14:textId="77777777" w:rsidR="006E7BCA" w:rsidRPr="00030341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</w:t>
      </w:r>
      <w:r w:rsidRPr="00FA3251">
        <w:rPr>
          <w:rFonts w:asciiTheme="minorHAnsi" w:hAnsiTheme="minorHAnsi"/>
          <w:lang w:val="en-GB"/>
        </w:rPr>
        <w:t xml:space="preserve"> total score of</w:t>
      </w:r>
      <w:r>
        <w:rPr>
          <w:rFonts w:asciiTheme="minorHAnsi" w:hAnsiTheme="minorHAnsi"/>
          <w:lang w:val="en-GB"/>
        </w:rPr>
        <w:t xml:space="preserve"> the exam is</w:t>
      </w:r>
      <w:r w:rsidRPr="00FA3251">
        <w:rPr>
          <w:rFonts w:asciiTheme="minorHAnsi" w:hAnsiTheme="minorHAnsi"/>
          <w:lang w:val="en-GB"/>
        </w:rPr>
        <w:t xml:space="preserve"> 20 points. </w:t>
      </w:r>
    </w:p>
    <w:p w14:paraId="4894FD9E" w14:textId="77777777" w:rsidR="006E7BCA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 w:rsidRPr="00FA3251">
        <w:rPr>
          <w:rFonts w:asciiTheme="minorHAnsi" w:hAnsiTheme="minorHAnsi"/>
          <w:lang w:val="en-GB"/>
        </w:rPr>
        <w:t xml:space="preserve">Answers should be </w:t>
      </w:r>
      <w:r>
        <w:rPr>
          <w:rFonts w:asciiTheme="minorHAnsi" w:hAnsiTheme="minorHAnsi"/>
          <w:lang w:val="en-GB"/>
        </w:rPr>
        <w:t>drafted with</w:t>
      </w:r>
      <w:r w:rsidRPr="00FA3251">
        <w:rPr>
          <w:rFonts w:asciiTheme="minorHAnsi" w:hAnsiTheme="minorHAnsi"/>
          <w:lang w:val="en-GB"/>
        </w:rPr>
        <w:t xml:space="preserve"> a </w:t>
      </w:r>
      <w:r w:rsidRPr="00FA3251">
        <w:rPr>
          <w:rFonts w:asciiTheme="minorHAnsi" w:hAnsiTheme="minorHAnsi"/>
          <w:i/>
          <w:lang w:val="en-GB"/>
        </w:rPr>
        <w:t>clear handwriting</w:t>
      </w:r>
      <w:r>
        <w:rPr>
          <w:rFonts w:asciiTheme="minorHAnsi" w:hAnsiTheme="minorHAnsi"/>
          <w:lang w:val="en-GB"/>
        </w:rPr>
        <w:t xml:space="preserve"> and </w:t>
      </w:r>
      <w:r>
        <w:rPr>
          <w:rFonts w:asciiTheme="minorHAnsi" w:hAnsiTheme="minorHAnsi"/>
          <w:b/>
          <w:lang w:val="en-GB"/>
        </w:rPr>
        <w:t>ought</w:t>
      </w:r>
      <w:r w:rsidRPr="00FA3251">
        <w:rPr>
          <w:rFonts w:asciiTheme="minorHAnsi" w:hAnsiTheme="minorHAnsi"/>
          <w:b/>
          <w:lang w:val="en-GB"/>
        </w:rPr>
        <w:t xml:space="preserve"> not extend beyond 4 pages</w:t>
      </w:r>
      <w:r>
        <w:rPr>
          <w:rFonts w:asciiTheme="minorHAnsi" w:hAnsiTheme="minorHAnsi"/>
          <w:lang w:val="en-GB"/>
        </w:rPr>
        <w:t xml:space="preserve"> (i.e. one exam sheet)</w:t>
      </w:r>
      <w:r w:rsidRPr="00FA3251">
        <w:rPr>
          <w:rFonts w:asciiTheme="minorHAnsi" w:hAnsiTheme="minorHAnsi"/>
          <w:lang w:val="en-GB"/>
        </w:rPr>
        <w:t xml:space="preserve">. </w:t>
      </w:r>
    </w:p>
    <w:p w14:paraId="16D2738A" w14:textId="77777777" w:rsidR="006E7BCA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Candidates are allowed to answer this exam either in </w:t>
      </w:r>
      <w:r w:rsidRPr="00812A68">
        <w:rPr>
          <w:rFonts w:asciiTheme="minorHAnsi" w:hAnsiTheme="minorHAnsi"/>
          <w:i/>
          <w:lang w:val="en-GB"/>
        </w:rPr>
        <w:t>Portuguese</w:t>
      </w:r>
      <w:r>
        <w:rPr>
          <w:rFonts w:asciiTheme="minorHAnsi" w:hAnsiTheme="minorHAnsi"/>
          <w:lang w:val="en-GB"/>
        </w:rPr>
        <w:t xml:space="preserve"> or in </w:t>
      </w:r>
      <w:r w:rsidRPr="00812A68">
        <w:rPr>
          <w:rFonts w:asciiTheme="minorHAnsi" w:hAnsiTheme="minorHAnsi"/>
          <w:i/>
          <w:lang w:val="en-GB"/>
        </w:rPr>
        <w:t>English</w:t>
      </w:r>
      <w:r>
        <w:rPr>
          <w:rFonts w:asciiTheme="minorHAnsi" w:hAnsiTheme="minorHAnsi"/>
          <w:lang w:val="en-GB"/>
        </w:rPr>
        <w:t>.</w:t>
      </w:r>
    </w:p>
    <w:p w14:paraId="22A72025" w14:textId="5633947D" w:rsidR="006E7BCA" w:rsidRPr="00030341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Abbreviations can be used, provided that their meaning is explained when the abbreviation is used for the first time (e.g. </w:t>
      </w:r>
      <w:r w:rsidR="00C27F6C">
        <w:rPr>
          <w:rFonts w:asciiTheme="minorHAnsi" w:hAnsiTheme="minorHAnsi"/>
          <w:lang w:val="en-GB"/>
        </w:rPr>
        <w:t>IMF</w:t>
      </w:r>
      <w:r>
        <w:rPr>
          <w:rFonts w:asciiTheme="minorHAnsi" w:hAnsiTheme="minorHAnsi"/>
          <w:lang w:val="en-GB"/>
        </w:rPr>
        <w:t xml:space="preserve"> = </w:t>
      </w:r>
      <w:r w:rsidR="00C27F6C">
        <w:rPr>
          <w:rFonts w:asciiTheme="minorHAnsi" w:hAnsiTheme="minorHAnsi"/>
          <w:lang w:val="en-GB"/>
        </w:rPr>
        <w:t>International Monetary Fund</w:t>
      </w:r>
      <w:bookmarkStart w:id="0" w:name="_GoBack"/>
      <w:bookmarkEnd w:id="0"/>
      <w:r>
        <w:rPr>
          <w:rFonts w:asciiTheme="minorHAnsi" w:hAnsiTheme="minorHAnsi"/>
          <w:lang w:val="en-GB"/>
        </w:rPr>
        <w:t>).</w:t>
      </w:r>
    </w:p>
    <w:p w14:paraId="0088E8F6" w14:textId="77777777" w:rsidR="006E7BCA" w:rsidRPr="00FA3251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 w:rsidRPr="00FA3251">
        <w:rPr>
          <w:rFonts w:asciiTheme="minorHAnsi" w:hAnsiTheme="minorHAnsi"/>
          <w:lang w:val="en-GB"/>
        </w:rPr>
        <w:t xml:space="preserve">During the exam you are allowed to have access </w:t>
      </w:r>
      <w:r w:rsidRPr="00FA3251">
        <w:rPr>
          <w:rFonts w:asciiTheme="minorHAnsi" w:hAnsiTheme="minorHAnsi"/>
          <w:u w:val="single"/>
          <w:lang w:val="en-GB"/>
        </w:rPr>
        <w:t>to your own written materials (legislation, notes, books, etc.)</w:t>
      </w:r>
      <w:r w:rsidRPr="00FA3251">
        <w:rPr>
          <w:rFonts w:asciiTheme="minorHAnsi" w:hAnsiTheme="minorHAnsi"/>
          <w:lang w:val="en-GB"/>
        </w:rPr>
        <w:t xml:space="preserve">. </w:t>
      </w:r>
    </w:p>
    <w:p w14:paraId="1F5DDDB7" w14:textId="77777777" w:rsidR="006E7BCA" w:rsidRPr="00FA3251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 w:rsidRPr="00FA3251">
        <w:rPr>
          <w:rFonts w:asciiTheme="minorHAnsi" w:hAnsiTheme="minorHAnsi"/>
          <w:lang w:val="en-GB"/>
        </w:rPr>
        <w:t xml:space="preserve">Quoting from external sources, whatever their nature (case law, legislation, books, articles, etc.) should be clearly indicated in your exam sheet through a </w:t>
      </w:r>
      <w:r>
        <w:rPr>
          <w:rFonts w:asciiTheme="minorHAnsi" w:hAnsiTheme="minorHAnsi"/>
          <w:lang w:val="en-GB"/>
        </w:rPr>
        <w:t xml:space="preserve">brief </w:t>
      </w:r>
      <w:r w:rsidRPr="00FA3251">
        <w:rPr>
          <w:rFonts w:asciiTheme="minorHAnsi" w:hAnsiTheme="minorHAnsi"/>
          <w:lang w:val="en-GB"/>
        </w:rPr>
        <w:t xml:space="preserve">reference to the </w:t>
      </w:r>
      <w:r>
        <w:rPr>
          <w:rFonts w:asciiTheme="minorHAnsi" w:hAnsiTheme="minorHAnsi"/>
          <w:lang w:val="en-GB"/>
        </w:rPr>
        <w:t>external source</w:t>
      </w:r>
      <w:r w:rsidRPr="00FA3251">
        <w:rPr>
          <w:rFonts w:asciiTheme="minorHAnsi" w:hAnsiTheme="minorHAnsi"/>
          <w:lang w:val="en-GB"/>
        </w:rPr>
        <w:t xml:space="preserve">. </w:t>
      </w:r>
      <w:r>
        <w:rPr>
          <w:rFonts w:asciiTheme="minorHAnsi" w:hAnsiTheme="minorHAnsi"/>
          <w:lang w:val="en-GB"/>
        </w:rPr>
        <w:t xml:space="preserve">The transcription of passages taken from a third party should be duly mentioned in your answer, </w:t>
      </w:r>
      <w:r w:rsidRPr="00812A68">
        <w:rPr>
          <w:rFonts w:asciiTheme="minorHAnsi" w:hAnsiTheme="minorHAnsi"/>
          <w:u w:val="single"/>
          <w:lang w:val="en-GB"/>
        </w:rPr>
        <w:t>while failure to do so may amount to plagiary</w:t>
      </w:r>
      <w:r w:rsidRPr="00FA3251">
        <w:rPr>
          <w:rFonts w:asciiTheme="minorHAnsi" w:hAnsiTheme="minorHAnsi"/>
          <w:lang w:val="en-GB"/>
        </w:rPr>
        <w:t xml:space="preserve">. </w:t>
      </w:r>
    </w:p>
    <w:p w14:paraId="6F0F7FBC" w14:textId="77777777" w:rsidR="006E7BCA" w:rsidRPr="00FA3251" w:rsidRDefault="006E7BCA" w:rsidP="006E7BCA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GB"/>
        </w:rPr>
      </w:pPr>
      <w:r w:rsidRPr="00390579">
        <w:rPr>
          <w:rFonts w:asciiTheme="minorHAnsi" w:hAnsiTheme="minorHAnsi"/>
          <w:b/>
          <w:lang w:val="en-GB"/>
        </w:rPr>
        <w:t xml:space="preserve">Please be aware that access or use of tablets, smartphones, laptops and all electronic gadgets that may allow you to have access to the internet </w:t>
      </w:r>
      <w:r>
        <w:rPr>
          <w:rFonts w:asciiTheme="minorHAnsi" w:hAnsiTheme="minorHAnsi"/>
          <w:b/>
          <w:lang w:val="en-GB"/>
        </w:rPr>
        <w:t>is</w:t>
      </w:r>
      <w:r w:rsidRPr="00390579">
        <w:rPr>
          <w:rFonts w:asciiTheme="minorHAnsi" w:hAnsiTheme="minorHAnsi"/>
          <w:b/>
          <w:lang w:val="en-GB"/>
        </w:rPr>
        <w:t xml:space="preserve"> strictly forbidden during the entire duration of the exam</w:t>
      </w:r>
      <w:r>
        <w:rPr>
          <w:rFonts w:asciiTheme="minorHAnsi" w:hAnsiTheme="minorHAnsi"/>
          <w:lang w:val="en-GB"/>
        </w:rPr>
        <w:t>.</w:t>
      </w:r>
    </w:p>
    <w:p w14:paraId="30D749EC" w14:textId="77777777" w:rsidR="00986D34" w:rsidRPr="00FA3251" w:rsidRDefault="00986D34" w:rsidP="00986D34">
      <w:pPr>
        <w:spacing w:line="276" w:lineRule="auto"/>
        <w:jc w:val="both"/>
        <w:rPr>
          <w:rFonts w:asciiTheme="minorHAnsi" w:hAnsiTheme="minorHAnsi"/>
          <w:lang w:val="en-GB"/>
        </w:rPr>
      </w:pPr>
    </w:p>
    <w:p w14:paraId="4E3BC125" w14:textId="77777777" w:rsidR="00986D34" w:rsidRPr="00FA3251" w:rsidRDefault="00986D34" w:rsidP="00986D34">
      <w:pPr>
        <w:spacing w:line="276" w:lineRule="auto"/>
        <w:jc w:val="both"/>
        <w:rPr>
          <w:rFonts w:asciiTheme="minorHAnsi" w:hAnsiTheme="minorHAnsi"/>
          <w:lang w:val="en-GB"/>
        </w:rPr>
      </w:pPr>
    </w:p>
    <w:p w14:paraId="656D7D2F" w14:textId="77777777" w:rsidR="00986D34" w:rsidRPr="006F2CF0" w:rsidRDefault="00986D34" w:rsidP="00986D34">
      <w:pPr>
        <w:spacing w:line="276" w:lineRule="auto"/>
        <w:jc w:val="both"/>
        <w:rPr>
          <w:rFonts w:asciiTheme="minorHAnsi" w:hAnsiTheme="minorHAnsi"/>
          <w:b/>
          <w:lang w:val="en-US"/>
        </w:rPr>
      </w:pPr>
      <w:r w:rsidRPr="006F2CF0">
        <w:rPr>
          <w:rFonts w:asciiTheme="minorHAnsi" w:hAnsiTheme="minorHAnsi"/>
          <w:b/>
          <w:lang w:val="en-US"/>
        </w:rPr>
        <w:t>Good luck!</w:t>
      </w:r>
    </w:p>
    <w:p w14:paraId="0795BD68" w14:textId="182AF5DB" w:rsidR="009A3371" w:rsidRPr="006F2CF0" w:rsidRDefault="009A3371" w:rsidP="009A3371">
      <w:pPr>
        <w:spacing w:line="276" w:lineRule="auto"/>
        <w:jc w:val="both"/>
        <w:rPr>
          <w:rFonts w:asciiTheme="minorHAnsi" w:hAnsiTheme="minorHAnsi"/>
          <w:b/>
          <w:lang w:val="en-US"/>
        </w:rPr>
      </w:pPr>
    </w:p>
    <w:p w14:paraId="7BD629F6" w14:textId="760FB715" w:rsidR="009A3371" w:rsidRPr="006F2CF0" w:rsidRDefault="009A3371" w:rsidP="00073F02">
      <w:pPr>
        <w:jc w:val="both"/>
        <w:rPr>
          <w:rFonts w:asciiTheme="minorHAnsi" w:hAnsiTheme="minorHAnsi"/>
          <w:lang w:val="en-US"/>
        </w:rPr>
      </w:pPr>
      <w:r w:rsidRPr="006F2CF0">
        <w:rPr>
          <w:rFonts w:asciiTheme="minorHAnsi" w:hAnsiTheme="minorHAnsi"/>
          <w:lang w:val="en-US"/>
        </w:rPr>
        <w:br w:type="page"/>
      </w:r>
    </w:p>
    <w:p w14:paraId="53EF894E" w14:textId="5542C01F" w:rsidR="00BC6625" w:rsidRPr="006F2CF0" w:rsidRDefault="00D909F1" w:rsidP="00A621C6">
      <w:pPr>
        <w:spacing w:line="276" w:lineRule="auto"/>
        <w:jc w:val="both"/>
        <w:rPr>
          <w:rFonts w:asciiTheme="minorHAnsi" w:hAnsiTheme="minorHAnsi"/>
          <w:lang w:val="en-US"/>
        </w:rPr>
      </w:pPr>
      <w:r w:rsidRPr="006F2CF0">
        <w:rPr>
          <w:rFonts w:asciiTheme="minorHAnsi" w:hAnsiTheme="minorHAnsi"/>
          <w:b/>
          <w:u w:val="single"/>
          <w:lang w:val="en-US"/>
        </w:rPr>
        <w:lastRenderedPageBreak/>
        <w:t>Part</w:t>
      </w:r>
      <w:r w:rsidR="009A3371" w:rsidRPr="006F2CF0">
        <w:rPr>
          <w:rFonts w:asciiTheme="minorHAnsi" w:hAnsiTheme="minorHAnsi"/>
          <w:b/>
          <w:u w:val="single"/>
          <w:lang w:val="en-US"/>
        </w:rPr>
        <w:t xml:space="preserve"> A</w:t>
      </w:r>
      <w:r w:rsidR="008D031B" w:rsidRPr="006F2CF0">
        <w:rPr>
          <w:rFonts w:asciiTheme="minorHAnsi" w:hAnsiTheme="minorHAnsi"/>
          <w:b/>
          <w:u w:val="single"/>
          <w:lang w:val="en-US"/>
        </w:rPr>
        <w:t xml:space="preserve"> (</w:t>
      </w:r>
      <w:r w:rsidR="00B1178A" w:rsidRPr="006F2CF0">
        <w:rPr>
          <w:rFonts w:asciiTheme="minorHAnsi" w:hAnsiTheme="minorHAnsi"/>
          <w:b/>
          <w:u w:val="single"/>
          <w:lang w:val="en-US"/>
        </w:rPr>
        <w:t>1</w:t>
      </w:r>
      <w:r w:rsidR="00154C2A" w:rsidRPr="006F2CF0">
        <w:rPr>
          <w:rFonts w:asciiTheme="minorHAnsi" w:hAnsiTheme="minorHAnsi"/>
          <w:b/>
          <w:u w:val="single"/>
          <w:lang w:val="en-US"/>
        </w:rPr>
        <w:t>0</w:t>
      </w:r>
      <w:r w:rsidR="00604EEE" w:rsidRPr="006F2CF0">
        <w:rPr>
          <w:rFonts w:asciiTheme="minorHAnsi" w:hAnsiTheme="minorHAnsi"/>
          <w:b/>
          <w:u w:val="single"/>
          <w:lang w:val="en-US"/>
        </w:rPr>
        <w:t xml:space="preserve"> </w:t>
      </w:r>
      <w:r w:rsidRPr="006F2CF0">
        <w:rPr>
          <w:rFonts w:asciiTheme="minorHAnsi" w:hAnsiTheme="minorHAnsi"/>
          <w:b/>
          <w:u w:val="single"/>
          <w:lang w:val="en-US"/>
        </w:rPr>
        <w:t>points</w:t>
      </w:r>
      <w:r w:rsidR="008D031B" w:rsidRPr="006F2CF0">
        <w:rPr>
          <w:rFonts w:asciiTheme="minorHAnsi" w:hAnsiTheme="minorHAnsi"/>
          <w:b/>
          <w:u w:val="single"/>
          <w:lang w:val="en-US"/>
        </w:rPr>
        <w:t>)</w:t>
      </w:r>
    </w:p>
    <w:p w14:paraId="6DC5CC5E" w14:textId="0016C5BD" w:rsidR="00DF6EE5" w:rsidRDefault="00DF6EE5" w:rsidP="00A621C6">
      <w:pPr>
        <w:pStyle w:val="Default"/>
        <w:spacing w:line="276" w:lineRule="auto"/>
        <w:jc w:val="both"/>
        <w:rPr>
          <w:lang w:val="en-US"/>
        </w:rPr>
      </w:pPr>
    </w:p>
    <w:p w14:paraId="4A703F5E" w14:textId="110D93B9" w:rsidR="003D38BB" w:rsidRPr="003D38BB" w:rsidRDefault="003D38BB" w:rsidP="00A621C6">
      <w:pPr>
        <w:pStyle w:val="Default"/>
        <w:spacing w:line="276" w:lineRule="auto"/>
        <w:jc w:val="both"/>
        <w:rPr>
          <w:rFonts w:asciiTheme="minorHAnsi" w:hAnsiTheme="minorHAnsi" w:cs="Times New Roman"/>
          <w:lang w:val="en-US"/>
        </w:rPr>
      </w:pPr>
      <w:r w:rsidRPr="003D38BB">
        <w:rPr>
          <w:rFonts w:asciiTheme="minorHAnsi" w:hAnsiTheme="minorHAnsi" w:cs="Times New Roman"/>
          <w:lang w:val="en-US"/>
        </w:rPr>
        <w:t xml:space="preserve">Please </w:t>
      </w:r>
      <w:r w:rsidR="009E4E2D">
        <w:rPr>
          <w:rFonts w:asciiTheme="minorHAnsi" w:hAnsiTheme="minorHAnsi" w:cs="Times New Roman"/>
          <w:lang w:val="en-US"/>
        </w:rPr>
        <w:t>say whether the following statements are</w:t>
      </w:r>
      <w:r w:rsidRPr="003D38BB">
        <w:rPr>
          <w:rFonts w:asciiTheme="minorHAnsi" w:hAnsiTheme="minorHAnsi" w:cs="Times New Roman"/>
          <w:lang w:val="en-US"/>
        </w:rPr>
        <w:t xml:space="preserve"> </w:t>
      </w:r>
      <w:r w:rsidRPr="003D38BB">
        <w:rPr>
          <w:rFonts w:asciiTheme="minorHAnsi" w:hAnsiTheme="minorHAnsi" w:cs="Times New Roman"/>
          <w:b/>
          <w:lang w:val="en-US"/>
        </w:rPr>
        <w:t xml:space="preserve">true </w:t>
      </w:r>
      <w:r w:rsidRPr="003D38BB">
        <w:rPr>
          <w:rFonts w:asciiTheme="minorHAnsi" w:hAnsiTheme="minorHAnsi" w:cs="Times New Roman"/>
          <w:lang w:val="en-US"/>
        </w:rPr>
        <w:t xml:space="preserve">or </w:t>
      </w:r>
      <w:r w:rsidRPr="003D38BB">
        <w:rPr>
          <w:rFonts w:asciiTheme="minorHAnsi" w:hAnsiTheme="minorHAnsi" w:cs="Times New Roman"/>
          <w:b/>
          <w:lang w:val="en-US"/>
        </w:rPr>
        <w:t xml:space="preserve">false </w:t>
      </w:r>
      <w:r w:rsidRPr="003D38BB">
        <w:rPr>
          <w:rFonts w:asciiTheme="minorHAnsi" w:hAnsiTheme="minorHAnsi" w:cs="Times New Roman"/>
          <w:lang w:val="en-US"/>
        </w:rPr>
        <w:t xml:space="preserve">and provide a justification for </w:t>
      </w:r>
      <w:r w:rsidR="009E4E2D">
        <w:rPr>
          <w:rFonts w:asciiTheme="minorHAnsi" w:hAnsiTheme="minorHAnsi" w:cs="Times New Roman"/>
          <w:lang w:val="en-US"/>
        </w:rPr>
        <w:t>each</w:t>
      </w:r>
      <w:r w:rsidRPr="003D38BB">
        <w:rPr>
          <w:rFonts w:asciiTheme="minorHAnsi" w:hAnsiTheme="minorHAnsi" w:cs="Times New Roman"/>
          <w:lang w:val="en-US"/>
        </w:rPr>
        <w:t xml:space="preserve"> reply: </w:t>
      </w:r>
    </w:p>
    <w:p w14:paraId="72AD0A31" w14:textId="77777777" w:rsidR="003D38BB" w:rsidRPr="003D38BB" w:rsidRDefault="003D38BB" w:rsidP="00A621C6">
      <w:pPr>
        <w:pStyle w:val="Default"/>
        <w:spacing w:line="276" w:lineRule="auto"/>
        <w:jc w:val="both"/>
        <w:rPr>
          <w:lang w:val="en-US"/>
        </w:rPr>
      </w:pPr>
    </w:p>
    <w:p w14:paraId="3D1CE86A" w14:textId="0E7843C6" w:rsidR="00EC4B9B" w:rsidRPr="00D976AD" w:rsidRDefault="003D38BB" w:rsidP="009E4E2D">
      <w:pPr>
        <w:spacing w:line="276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1) </w:t>
      </w:r>
      <w:r w:rsidR="00EC4B9B" w:rsidRPr="00D976AD">
        <w:rPr>
          <w:rFonts w:asciiTheme="minorHAnsi" w:hAnsiTheme="minorHAnsi" w:cs="Arial"/>
          <w:lang w:val="en-GB"/>
        </w:rPr>
        <w:t>In order to bring a dispute to the WTO dispute settlement system, the complainant must necessarily argue that the respondent acted inconsistently with one of its obligations under the covered agreements.</w:t>
      </w:r>
    </w:p>
    <w:p w14:paraId="190D06E6" w14:textId="77777777" w:rsidR="00EC4B9B" w:rsidRPr="00D976AD" w:rsidRDefault="00EC4B9B" w:rsidP="009E4E2D">
      <w:pPr>
        <w:pStyle w:val="Default"/>
        <w:spacing w:after="9" w:line="276" w:lineRule="auto"/>
        <w:jc w:val="both"/>
        <w:rPr>
          <w:rFonts w:asciiTheme="minorHAnsi" w:hAnsiTheme="minorHAnsi"/>
          <w:lang w:val="en-GB"/>
        </w:rPr>
      </w:pPr>
    </w:p>
    <w:p w14:paraId="0F76804A" w14:textId="11273A11" w:rsidR="00F301E2" w:rsidRPr="00D976AD" w:rsidRDefault="009E4E2D" w:rsidP="009E4E2D">
      <w:p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lang w:val="en-GB"/>
        </w:rPr>
        <w:t xml:space="preserve">2) </w:t>
      </w:r>
      <w:r w:rsidR="00F301E2" w:rsidRPr="00D976AD">
        <w:rPr>
          <w:rFonts w:asciiTheme="minorHAnsi" w:hAnsiTheme="minorHAnsi" w:cs="Arial"/>
          <w:lang w:val="en-GB"/>
        </w:rPr>
        <w:t>Pursuant to Article II:1 of the GATT 1994, a WTO Member may not impose customs duties which are either below or above the tariff concession set out in that Member’s Schedule of Concession s (i.e. its Goods Schedule)</w:t>
      </w:r>
    </w:p>
    <w:p w14:paraId="502454A0" w14:textId="77777777" w:rsidR="00F301E2" w:rsidRPr="00D976AD" w:rsidRDefault="00F301E2" w:rsidP="009E4E2D">
      <w:pPr>
        <w:pStyle w:val="Default"/>
        <w:spacing w:after="9" w:line="276" w:lineRule="auto"/>
        <w:jc w:val="both"/>
        <w:rPr>
          <w:rFonts w:asciiTheme="minorHAnsi" w:hAnsiTheme="minorHAnsi"/>
          <w:lang w:val="en-GB"/>
        </w:rPr>
      </w:pPr>
    </w:p>
    <w:p w14:paraId="16C9D0B6" w14:textId="28EB4DD5" w:rsidR="00F301E2" w:rsidRPr="00D976AD" w:rsidRDefault="009E4E2D" w:rsidP="009E4E2D">
      <w:p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lang w:val="en-GB"/>
        </w:rPr>
        <w:t xml:space="preserve">3) </w:t>
      </w:r>
      <w:r w:rsidR="00F301E2" w:rsidRPr="00D976AD">
        <w:rPr>
          <w:rFonts w:asciiTheme="minorHAnsi" w:hAnsiTheme="minorHAnsi" w:cs="Arial"/>
          <w:lang w:val="en-GB"/>
        </w:rPr>
        <w:t>Under Article III:4 of the GATT 1994, it is prohibited to treat like products differently.</w:t>
      </w:r>
    </w:p>
    <w:p w14:paraId="57588818" w14:textId="77777777" w:rsidR="00F301E2" w:rsidRPr="00D976AD" w:rsidRDefault="00F301E2" w:rsidP="009E4E2D">
      <w:pPr>
        <w:pStyle w:val="Default"/>
        <w:spacing w:after="9" w:line="276" w:lineRule="auto"/>
        <w:jc w:val="both"/>
        <w:rPr>
          <w:rFonts w:asciiTheme="minorHAnsi" w:hAnsiTheme="minorHAnsi"/>
          <w:lang w:val="en-GB"/>
        </w:rPr>
      </w:pPr>
    </w:p>
    <w:p w14:paraId="4DE5E0E7" w14:textId="6615ABEF" w:rsidR="006F2CF0" w:rsidRPr="00D976AD" w:rsidRDefault="009E4E2D" w:rsidP="009E4E2D">
      <w:p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lang w:val="en-GB"/>
        </w:rPr>
        <w:t xml:space="preserve">4) </w:t>
      </w:r>
      <w:r w:rsidR="00F301E2" w:rsidRPr="00D976AD">
        <w:rPr>
          <w:rFonts w:asciiTheme="minorHAnsi" w:hAnsiTheme="minorHAnsi" w:cs="Arial"/>
          <w:lang w:val="en-GB"/>
        </w:rPr>
        <w:t>A product that is ‘like’ under Article III:2 of the GATT 1994 is also ‘like’ under Article III:4 thereof, but a product that is ‘like’ under Article III:4 is not necessarily ‘like’ under Article III:2.</w:t>
      </w:r>
    </w:p>
    <w:p w14:paraId="6B30839A" w14:textId="77777777" w:rsidR="006F2CF0" w:rsidRPr="00D976AD" w:rsidRDefault="006F2CF0" w:rsidP="009E4E2D">
      <w:pPr>
        <w:pStyle w:val="Default"/>
        <w:spacing w:after="9" w:line="276" w:lineRule="auto"/>
        <w:jc w:val="both"/>
        <w:rPr>
          <w:rFonts w:asciiTheme="minorHAnsi" w:hAnsiTheme="minorHAnsi"/>
          <w:lang w:val="en-US"/>
        </w:rPr>
      </w:pPr>
    </w:p>
    <w:p w14:paraId="617073B8" w14:textId="5DB51C4A" w:rsidR="007D7F3F" w:rsidRPr="00D976AD" w:rsidRDefault="009E4E2D" w:rsidP="009E4E2D">
      <w:pPr>
        <w:spacing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lang w:val="en-GB"/>
        </w:rPr>
        <w:t xml:space="preserve">5) </w:t>
      </w:r>
      <w:r w:rsidR="00F301E2" w:rsidRPr="00D976AD">
        <w:rPr>
          <w:rFonts w:asciiTheme="minorHAnsi" w:hAnsiTheme="minorHAnsi" w:cs="Arial"/>
          <w:lang w:val="en-GB"/>
        </w:rPr>
        <w:t>The list of societal values and interests in Article XX of the GATT 1994 is not exhaustive, but merely illustrative</w:t>
      </w:r>
      <w:r>
        <w:rPr>
          <w:rFonts w:asciiTheme="minorHAnsi" w:hAnsiTheme="minorHAnsi" w:cs="Arial"/>
          <w:lang w:val="en-GB"/>
        </w:rPr>
        <w:t>.</w:t>
      </w:r>
    </w:p>
    <w:p w14:paraId="3214413F" w14:textId="77777777" w:rsidR="007D7F3F" w:rsidRPr="00D976AD" w:rsidRDefault="007D7F3F" w:rsidP="00D976AD">
      <w:pPr>
        <w:pStyle w:val="Default"/>
        <w:spacing w:after="9" w:line="360" w:lineRule="auto"/>
        <w:jc w:val="both"/>
        <w:rPr>
          <w:rFonts w:asciiTheme="minorHAnsi" w:hAnsiTheme="minorHAnsi"/>
          <w:lang w:val="en-GB"/>
        </w:rPr>
      </w:pPr>
    </w:p>
    <w:p w14:paraId="0134C68E" w14:textId="3FEFD5A8" w:rsidR="00242D8D" w:rsidRPr="006E7BCA" w:rsidRDefault="00242D8D" w:rsidP="00A621C6">
      <w:pPr>
        <w:pStyle w:val="Default"/>
        <w:spacing w:after="9" w:line="276" w:lineRule="auto"/>
        <w:jc w:val="both"/>
        <w:rPr>
          <w:rFonts w:asciiTheme="minorHAnsi" w:hAnsiTheme="minorHAnsi"/>
          <w:b/>
          <w:lang w:val="en-GB"/>
        </w:rPr>
      </w:pPr>
      <w:r w:rsidRPr="006E7BCA">
        <w:rPr>
          <w:rFonts w:asciiTheme="minorHAnsi" w:hAnsiTheme="minorHAnsi"/>
          <w:b/>
          <w:u w:val="single"/>
          <w:lang w:val="en-GB"/>
        </w:rPr>
        <w:t>Part B (</w:t>
      </w:r>
      <w:r w:rsidR="00154C2A" w:rsidRPr="006E7BCA">
        <w:rPr>
          <w:rFonts w:asciiTheme="minorHAnsi" w:hAnsiTheme="minorHAnsi"/>
          <w:b/>
          <w:u w:val="single"/>
          <w:lang w:val="en-GB"/>
        </w:rPr>
        <w:t>10</w:t>
      </w:r>
      <w:r w:rsidRPr="006E7BCA">
        <w:rPr>
          <w:rFonts w:asciiTheme="minorHAnsi" w:hAnsiTheme="minorHAnsi"/>
          <w:b/>
          <w:u w:val="single"/>
          <w:lang w:val="en-GB"/>
        </w:rPr>
        <w:t xml:space="preserve"> </w:t>
      </w:r>
      <w:r w:rsidR="006F2CF0" w:rsidRPr="006E7BCA">
        <w:rPr>
          <w:rFonts w:asciiTheme="minorHAnsi" w:hAnsiTheme="minorHAnsi"/>
          <w:b/>
          <w:u w:val="single"/>
          <w:lang w:val="en-GB"/>
        </w:rPr>
        <w:t>points</w:t>
      </w:r>
      <w:r w:rsidRPr="006E7BCA">
        <w:rPr>
          <w:rFonts w:asciiTheme="minorHAnsi" w:hAnsiTheme="minorHAnsi"/>
          <w:b/>
          <w:u w:val="single"/>
          <w:lang w:val="en-GB"/>
        </w:rPr>
        <w:t>)</w:t>
      </w:r>
    </w:p>
    <w:p w14:paraId="6A2FA459" w14:textId="77777777" w:rsidR="00242D8D" w:rsidRDefault="00242D8D" w:rsidP="00A621C6">
      <w:pPr>
        <w:pStyle w:val="Default"/>
        <w:spacing w:after="9" w:line="276" w:lineRule="auto"/>
        <w:jc w:val="both"/>
        <w:rPr>
          <w:rFonts w:asciiTheme="minorHAnsi" w:hAnsiTheme="minorHAnsi"/>
          <w:lang w:val="en-GB"/>
        </w:rPr>
      </w:pPr>
    </w:p>
    <w:p w14:paraId="1023EC41" w14:textId="5C01FB09" w:rsidR="003D38BB" w:rsidRDefault="003D38BB" w:rsidP="00A621C6">
      <w:pPr>
        <w:pStyle w:val="Default"/>
        <w:spacing w:after="9" w:line="276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Democratic Republic of </w:t>
      </w:r>
      <w:r w:rsidR="00D976AD">
        <w:rPr>
          <w:rFonts w:asciiTheme="minorHAnsi" w:hAnsiTheme="minorHAnsi"/>
          <w:lang w:val="en-GB"/>
        </w:rPr>
        <w:t>Xanadu (</w:t>
      </w:r>
      <w:r w:rsidR="009E4E2D">
        <w:rPr>
          <w:rFonts w:asciiTheme="minorHAnsi" w:hAnsiTheme="minorHAnsi"/>
          <w:lang w:val="en-GB"/>
        </w:rPr>
        <w:t>DRX) is a</w:t>
      </w:r>
      <w:r w:rsidR="00D976AD">
        <w:rPr>
          <w:rFonts w:asciiTheme="minorHAnsi" w:hAnsiTheme="minorHAnsi"/>
          <w:lang w:val="en-GB"/>
        </w:rPr>
        <w:t xml:space="preserve"> Member </w:t>
      </w:r>
      <w:r>
        <w:rPr>
          <w:rFonts w:asciiTheme="minorHAnsi" w:hAnsiTheme="minorHAnsi"/>
          <w:lang w:val="en-GB"/>
        </w:rPr>
        <w:t xml:space="preserve">of the WTO famous for many products, amidst which are its famous yellow rubber ducks. The state-owned </w:t>
      </w:r>
      <w:r w:rsidR="009E4E2D">
        <w:rPr>
          <w:rFonts w:asciiTheme="minorHAnsi" w:hAnsiTheme="minorHAnsi"/>
          <w:lang w:val="en-GB"/>
        </w:rPr>
        <w:t xml:space="preserve">electricity </w:t>
      </w:r>
      <w:r>
        <w:rPr>
          <w:rFonts w:asciiTheme="minorHAnsi" w:hAnsiTheme="minorHAnsi"/>
          <w:lang w:val="en-GB"/>
        </w:rPr>
        <w:t>company has</w:t>
      </w:r>
      <w:r w:rsidR="009E4E2D">
        <w:rPr>
          <w:rFonts w:asciiTheme="minorHAnsi" w:hAnsiTheme="minorHAnsi"/>
          <w:lang w:val="en-GB"/>
        </w:rPr>
        <w:t xml:space="preserve"> recently</w:t>
      </w:r>
      <w:r>
        <w:rPr>
          <w:rFonts w:asciiTheme="minorHAnsi" w:hAnsiTheme="minorHAnsi"/>
          <w:lang w:val="en-GB"/>
        </w:rPr>
        <w:t xml:space="preserve"> reached an agreement with </w:t>
      </w:r>
      <w:r w:rsidR="009E4E2D">
        <w:rPr>
          <w:rFonts w:asciiTheme="minorHAnsi" w:hAnsiTheme="minorHAnsi"/>
          <w:lang w:val="en-GB"/>
        </w:rPr>
        <w:t xml:space="preserve">all </w:t>
      </w:r>
      <w:r>
        <w:rPr>
          <w:rFonts w:asciiTheme="minorHAnsi" w:hAnsiTheme="minorHAnsi"/>
          <w:lang w:val="en-GB"/>
        </w:rPr>
        <w:t>the domestic producers of rubber ducks which allows the</w:t>
      </w:r>
      <w:r w:rsidR="009E4E2D">
        <w:rPr>
          <w:rFonts w:asciiTheme="minorHAnsi" w:hAnsiTheme="minorHAnsi"/>
          <w:lang w:val="en-GB"/>
        </w:rPr>
        <w:t>m</w:t>
      </w:r>
      <w:r>
        <w:rPr>
          <w:rFonts w:asciiTheme="minorHAnsi" w:hAnsiTheme="minorHAnsi"/>
          <w:lang w:val="en-GB"/>
        </w:rPr>
        <w:t xml:space="preserve"> to buy electricity at preferential rates (i.e. at a lower price per kilowatt in comparison with other producers established in the country, domestic or foreign). </w:t>
      </w:r>
      <w:r w:rsidR="009E4E2D">
        <w:rPr>
          <w:rFonts w:asciiTheme="minorHAnsi" w:hAnsiTheme="minorHAnsi"/>
          <w:lang w:val="en-GB"/>
        </w:rPr>
        <w:t>As a result</w:t>
      </w:r>
      <w:r>
        <w:rPr>
          <w:rFonts w:asciiTheme="minorHAnsi" w:hAnsiTheme="minorHAnsi"/>
          <w:lang w:val="en-GB"/>
        </w:rPr>
        <w:t>, the domestic producers of yellow rubber ducks are able to sell them much cheaper in the international market</w:t>
      </w:r>
      <w:r w:rsidR="009E4E2D">
        <w:rPr>
          <w:rFonts w:asciiTheme="minorHAnsi" w:hAnsiTheme="minorHAnsi"/>
          <w:lang w:val="en-GB"/>
        </w:rPr>
        <w:t xml:space="preserve"> and have been experiencing a considerable increase in their exports</w:t>
      </w:r>
      <w:r>
        <w:rPr>
          <w:rFonts w:asciiTheme="minorHAnsi" w:hAnsiTheme="minorHAnsi"/>
          <w:lang w:val="en-GB"/>
        </w:rPr>
        <w:t>.</w:t>
      </w:r>
    </w:p>
    <w:p w14:paraId="4D7878DC" w14:textId="77777777" w:rsidR="003D38BB" w:rsidRDefault="003D38BB" w:rsidP="00A621C6">
      <w:pPr>
        <w:pStyle w:val="Default"/>
        <w:spacing w:after="9" w:line="276" w:lineRule="auto"/>
        <w:jc w:val="both"/>
        <w:rPr>
          <w:rFonts w:asciiTheme="minorHAnsi" w:hAnsiTheme="minorHAnsi"/>
          <w:lang w:val="en-GB"/>
        </w:rPr>
      </w:pPr>
    </w:p>
    <w:p w14:paraId="59F81945" w14:textId="5308713E" w:rsidR="00CA55FC" w:rsidRPr="009E4E2D" w:rsidRDefault="003D38BB" w:rsidP="009E4E2D">
      <w:pPr>
        <w:pStyle w:val="Default"/>
        <w:spacing w:after="9" w:line="276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GB"/>
        </w:rPr>
        <w:t>Based on the facts provided above</w:t>
      </w:r>
      <w:r w:rsidR="009E4E2D">
        <w:rPr>
          <w:rFonts w:asciiTheme="minorHAnsi" w:hAnsiTheme="minorHAnsi"/>
          <w:lang w:val="en-GB"/>
        </w:rPr>
        <w:t xml:space="preserve"> (and on any </w:t>
      </w:r>
      <w:r w:rsidR="009E4E2D" w:rsidRPr="009E4E2D">
        <w:rPr>
          <w:rFonts w:asciiTheme="minorHAnsi" w:hAnsiTheme="minorHAnsi"/>
          <w:u w:val="single"/>
          <w:lang w:val="en-GB"/>
        </w:rPr>
        <w:t>reasonable</w:t>
      </w:r>
      <w:r w:rsidR="009E4E2D">
        <w:rPr>
          <w:rFonts w:asciiTheme="minorHAnsi" w:hAnsiTheme="minorHAnsi"/>
          <w:lang w:val="en-GB"/>
        </w:rPr>
        <w:t xml:space="preserve"> assumptions you might make based on these facts)</w:t>
      </w:r>
      <w:r>
        <w:rPr>
          <w:rFonts w:asciiTheme="minorHAnsi" w:hAnsiTheme="minorHAnsi"/>
          <w:lang w:val="en-GB"/>
        </w:rPr>
        <w:t xml:space="preserve">, </w:t>
      </w:r>
      <w:r w:rsidR="009E4E2D">
        <w:rPr>
          <w:rFonts w:asciiTheme="minorHAnsi" w:hAnsiTheme="minorHAnsi"/>
          <w:lang w:val="en-GB"/>
        </w:rPr>
        <w:t xml:space="preserve">do you </w:t>
      </w:r>
      <w:r w:rsidR="00CF4574">
        <w:rPr>
          <w:rFonts w:asciiTheme="minorHAnsi" w:hAnsiTheme="minorHAnsi"/>
          <w:lang w:val="en-GB"/>
        </w:rPr>
        <w:t xml:space="preserve">think </w:t>
      </w:r>
      <w:r w:rsidR="009E4E2D">
        <w:rPr>
          <w:rFonts w:asciiTheme="minorHAnsi" w:hAnsiTheme="minorHAnsi"/>
          <w:lang w:val="en-GB"/>
        </w:rPr>
        <w:t xml:space="preserve">there is any ground for a complaint before the WTO? Please justify your answer and focus your analysis on the </w:t>
      </w:r>
      <w:r w:rsidR="009E4E2D">
        <w:rPr>
          <w:rFonts w:asciiTheme="minorHAnsi" w:hAnsiTheme="minorHAnsi"/>
          <w:i/>
          <w:lang w:val="en-GB"/>
        </w:rPr>
        <w:t xml:space="preserve">substantive </w:t>
      </w:r>
      <w:r w:rsidR="009E4E2D">
        <w:rPr>
          <w:rFonts w:asciiTheme="minorHAnsi" w:hAnsiTheme="minorHAnsi"/>
          <w:lang w:val="en-GB"/>
        </w:rPr>
        <w:t>aspects of the case.</w:t>
      </w:r>
    </w:p>
    <w:p w14:paraId="278D8AA3" w14:textId="77777777" w:rsidR="00CA55FC" w:rsidRPr="009A21E1" w:rsidRDefault="00CA55FC" w:rsidP="001A6A8B">
      <w:pPr>
        <w:pStyle w:val="Default"/>
        <w:spacing w:after="9" w:line="276" w:lineRule="auto"/>
        <w:ind w:left="720"/>
        <w:jc w:val="both"/>
        <w:rPr>
          <w:rFonts w:asciiTheme="minorHAnsi" w:hAnsiTheme="minorHAnsi"/>
          <w:lang w:val="en-US"/>
        </w:rPr>
      </w:pPr>
    </w:p>
    <w:sectPr w:rsidR="00CA55FC" w:rsidRPr="009A21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3FDF" w14:textId="77777777" w:rsidR="009041A8" w:rsidRDefault="009041A8">
      <w:r>
        <w:separator/>
      </w:r>
    </w:p>
  </w:endnote>
  <w:endnote w:type="continuationSeparator" w:id="0">
    <w:p w14:paraId="4D2AA8CA" w14:textId="77777777" w:rsidR="009041A8" w:rsidRDefault="009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0190" w14:textId="77777777" w:rsidR="00CA55FC" w:rsidRDefault="00CA55FC" w:rsidP="00F773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1DB79F" w14:textId="77777777" w:rsidR="00CA55FC" w:rsidRDefault="00CA55FC" w:rsidP="00C74E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C464" w14:textId="79F4EF27" w:rsidR="00CA55FC" w:rsidRDefault="00CA55FC" w:rsidP="00F7738C">
    <w:pPr>
      <w:pStyle w:val="Rodap"/>
      <w:framePr w:wrap="around" w:vAnchor="text" w:hAnchor="margin" w:xAlign="right" w:y="1"/>
      <w:rPr>
        <w:rStyle w:val="Nmerodepgina"/>
      </w:rPr>
    </w:pPr>
  </w:p>
  <w:p w14:paraId="16085DD7" w14:textId="600E4597" w:rsidR="00CA55FC" w:rsidRDefault="00CA55FC" w:rsidP="00C74ED9">
    <w:pPr>
      <w:pStyle w:val="Rodap"/>
      <w:ind w:right="360"/>
      <w:jc w:val="right"/>
    </w:pPr>
  </w:p>
  <w:p w14:paraId="390CDDB3" w14:textId="1E0020C6" w:rsidR="00CA55FC" w:rsidRDefault="00CA55FC" w:rsidP="006F31C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05FF" w14:textId="77777777" w:rsidR="009041A8" w:rsidRDefault="009041A8">
      <w:r>
        <w:separator/>
      </w:r>
    </w:p>
  </w:footnote>
  <w:footnote w:type="continuationSeparator" w:id="0">
    <w:p w14:paraId="373161CD" w14:textId="77777777" w:rsidR="009041A8" w:rsidRDefault="0090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D5E7" w14:textId="1EA0A954" w:rsidR="00CA55FC" w:rsidRDefault="00CA55FC" w:rsidP="006F31C3">
    <w:pPr>
      <w:pStyle w:val="Cabealho"/>
      <w:jc w:val="center"/>
    </w:pPr>
    <w:r>
      <w:rPr>
        <w:noProof/>
      </w:rPr>
      <w:drawing>
        <wp:inline distT="0" distB="0" distL="0" distR="0" wp14:anchorId="148CAB2C" wp14:editId="738F7E8A">
          <wp:extent cx="2861945" cy="804545"/>
          <wp:effectExtent l="0" t="0" r="8255" b="8255"/>
          <wp:docPr id="2" name="Picture 1" descr="Logotipo2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20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88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27997"/>
    <w:multiLevelType w:val="hybridMultilevel"/>
    <w:tmpl w:val="6E622002"/>
    <w:lvl w:ilvl="0" w:tplc="1526A6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7F1"/>
    <w:multiLevelType w:val="hybridMultilevel"/>
    <w:tmpl w:val="291207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47213"/>
    <w:multiLevelType w:val="hybridMultilevel"/>
    <w:tmpl w:val="3D8EE852"/>
    <w:lvl w:ilvl="0" w:tplc="EDE287B8">
      <w:start w:val="1"/>
      <w:numFmt w:val="lowerLetter"/>
      <w:lvlText w:val="%1)"/>
      <w:lvlJc w:val="left"/>
      <w:pPr>
        <w:ind w:left="174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B11D4"/>
    <w:multiLevelType w:val="hybridMultilevel"/>
    <w:tmpl w:val="DDC201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3A17"/>
    <w:multiLevelType w:val="hybridMultilevel"/>
    <w:tmpl w:val="512443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1222"/>
    <w:multiLevelType w:val="multilevel"/>
    <w:tmpl w:val="C69E29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5815D4E"/>
    <w:multiLevelType w:val="hybridMultilevel"/>
    <w:tmpl w:val="172C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6333"/>
    <w:multiLevelType w:val="hybridMultilevel"/>
    <w:tmpl w:val="072ECD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7723"/>
    <w:multiLevelType w:val="hybridMultilevel"/>
    <w:tmpl w:val="B128F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E679D"/>
    <w:multiLevelType w:val="hybridMultilevel"/>
    <w:tmpl w:val="F6E2F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7E1B"/>
    <w:multiLevelType w:val="hybridMultilevel"/>
    <w:tmpl w:val="2B78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43A31"/>
    <w:multiLevelType w:val="hybridMultilevel"/>
    <w:tmpl w:val="5268D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029A2"/>
    <w:multiLevelType w:val="hybridMultilevel"/>
    <w:tmpl w:val="0B6EE22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C0391"/>
    <w:multiLevelType w:val="hybridMultilevel"/>
    <w:tmpl w:val="F8EE4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0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212550"/>
    <w:multiLevelType w:val="hybridMultilevel"/>
    <w:tmpl w:val="5E0EB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7CED"/>
    <w:multiLevelType w:val="hybridMultilevel"/>
    <w:tmpl w:val="1B60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7B14"/>
    <w:multiLevelType w:val="hybridMultilevel"/>
    <w:tmpl w:val="881C2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0D0A"/>
    <w:multiLevelType w:val="hybridMultilevel"/>
    <w:tmpl w:val="D1ECD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57CF1"/>
    <w:multiLevelType w:val="hybridMultilevel"/>
    <w:tmpl w:val="FB92C672"/>
    <w:lvl w:ilvl="0" w:tplc="B798E8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D2B4A"/>
    <w:multiLevelType w:val="hybridMultilevel"/>
    <w:tmpl w:val="C7C69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453"/>
    <w:multiLevelType w:val="hybridMultilevel"/>
    <w:tmpl w:val="A2BC93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7AA8"/>
    <w:multiLevelType w:val="hybridMultilevel"/>
    <w:tmpl w:val="AD869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C0D37"/>
    <w:multiLevelType w:val="multilevel"/>
    <w:tmpl w:val="3CA88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22"/>
  </w:num>
  <w:num w:numId="16">
    <w:abstractNumId w:val="8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19"/>
  </w:num>
  <w:num w:numId="23">
    <w:abstractNumId w:val="2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C3"/>
    <w:rsid w:val="0000587A"/>
    <w:rsid w:val="00010DB5"/>
    <w:rsid w:val="00012399"/>
    <w:rsid w:val="00022A9E"/>
    <w:rsid w:val="000242FB"/>
    <w:rsid w:val="00036787"/>
    <w:rsid w:val="0005468F"/>
    <w:rsid w:val="00073F02"/>
    <w:rsid w:val="000B0025"/>
    <w:rsid w:val="000C2FDE"/>
    <w:rsid w:val="000D30AE"/>
    <w:rsid w:val="000F0CA2"/>
    <w:rsid w:val="00111D6B"/>
    <w:rsid w:val="00114680"/>
    <w:rsid w:val="00154C2A"/>
    <w:rsid w:val="00160D80"/>
    <w:rsid w:val="00163AB7"/>
    <w:rsid w:val="00177BBC"/>
    <w:rsid w:val="001804BF"/>
    <w:rsid w:val="00185BE9"/>
    <w:rsid w:val="001A6A8B"/>
    <w:rsid w:val="001C08A3"/>
    <w:rsid w:val="001C2BD2"/>
    <w:rsid w:val="001C7401"/>
    <w:rsid w:val="001E46D7"/>
    <w:rsid w:val="001E6B01"/>
    <w:rsid w:val="00242D8D"/>
    <w:rsid w:val="00251530"/>
    <w:rsid w:val="00272D88"/>
    <w:rsid w:val="00290B7A"/>
    <w:rsid w:val="002A12E7"/>
    <w:rsid w:val="002B44F1"/>
    <w:rsid w:val="002C2F60"/>
    <w:rsid w:val="002C45DD"/>
    <w:rsid w:val="002E1646"/>
    <w:rsid w:val="002E2D51"/>
    <w:rsid w:val="002E3260"/>
    <w:rsid w:val="003203B1"/>
    <w:rsid w:val="00332C9C"/>
    <w:rsid w:val="00345441"/>
    <w:rsid w:val="00354D4C"/>
    <w:rsid w:val="003626FD"/>
    <w:rsid w:val="00363025"/>
    <w:rsid w:val="00366B34"/>
    <w:rsid w:val="003A101D"/>
    <w:rsid w:val="003A1656"/>
    <w:rsid w:val="003C2640"/>
    <w:rsid w:val="003C6756"/>
    <w:rsid w:val="003D38BB"/>
    <w:rsid w:val="003D6BEE"/>
    <w:rsid w:val="003E32C2"/>
    <w:rsid w:val="003F4F51"/>
    <w:rsid w:val="003F59D6"/>
    <w:rsid w:val="00402FAC"/>
    <w:rsid w:val="00425D90"/>
    <w:rsid w:val="00435B3F"/>
    <w:rsid w:val="0045090C"/>
    <w:rsid w:val="00453626"/>
    <w:rsid w:val="0045525A"/>
    <w:rsid w:val="00482AD7"/>
    <w:rsid w:val="00490C98"/>
    <w:rsid w:val="004A1F60"/>
    <w:rsid w:val="004B0950"/>
    <w:rsid w:val="004D5764"/>
    <w:rsid w:val="00505F6B"/>
    <w:rsid w:val="005070CA"/>
    <w:rsid w:val="00523E19"/>
    <w:rsid w:val="00542939"/>
    <w:rsid w:val="00543F49"/>
    <w:rsid w:val="005A06AB"/>
    <w:rsid w:val="005A2197"/>
    <w:rsid w:val="005A3A9D"/>
    <w:rsid w:val="005B1B1B"/>
    <w:rsid w:val="005C64D6"/>
    <w:rsid w:val="005E5F2F"/>
    <w:rsid w:val="00604EEE"/>
    <w:rsid w:val="0061783F"/>
    <w:rsid w:val="00624959"/>
    <w:rsid w:val="00630A5A"/>
    <w:rsid w:val="00631EB2"/>
    <w:rsid w:val="00632045"/>
    <w:rsid w:val="006360FB"/>
    <w:rsid w:val="00653894"/>
    <w:rsid w:val="0068105C"/>
    <w:rsid w:val="00681152"/>
    <w:rsid w:val="00690848"/>
    <w:rsid w:val="006A16AA"/>
    <w:rsid w:val="006E2C85"/>
    <w:rsid w:val="006E69F2"/>
    <w:rsid w:val="006E7BCA"/>
    <w:rsid w:val="006F2CF0"/>
    <w:rsid w:val="006F31C3"/>
    <w:rsid w:val="00700DB8"/>
    <w:rsid w:val="00717729"/>
    <w:rsid w:val="0072030C"/>
    <w:rsid w:val="007415A5"/>
    <w:rsid w:val="00741AF0"/>
    <w:rsid w:val="00747E3D"/>
    <w:rsid w:val="00752382"/>
    <w:rsid w:val="00755F87"/>
    <w:rsid w:val="007D3ED0"/>
    <w:rsid w:val="007D7A0A"/>
    <w:rsid w:val="007D7F3F"/>
    <w:rsid w:val="007E5ED3"/>
    <w:rsid w:val="007E6506"/>
    <w:rsid w:val="00824608"/>
    <w:rsid w:val="008444E9"/>
    <w:rsid w:val="00872045"/>
    <w:rsid w:val="00880BDF"/>
    <w:rsid w:val="00883A05"/>
    <w:rsid w:val="0088759A"/>
    <w:rsid w:val="008941DA"/>
    <w:rsid w:val="008A346D"/>
    <w:rsid w:val="008A6DD9"/>
    <w:rsid w:val="008D031B"/>
    <w:rsid w:val="008E19C7"/>
    <w:rsid w:val="008E30D6"/>
    <w:rsid w:val="008F34A0"/>
    <w:rsid w:val="008F5317"/>
    <w:rsid w:val="009041A8"/>
    <w:rsid w:val="00905415"/>
    <w:rsid w:val="00923447"/>
    <w:rsid w:val="00946A68"/>
    <w:rsid w:val="00974D26"/>
    <w:rsid w:val="00986D34"/>
    <w:rsid w:val="009A21E1"/>
    <w:rsid w:val="009A3371"/>
    <w:rsid w:val="009E3105"/>
    <w:rsid w:val="009E4E2D"/>
    <w:rsid w:val="009F31AD"/>
    <w:rsid w:val="00A423BD"/>
    <w:rsid w:val="00A621C6"/>
    <w:rsid w:val="00A77CA4"/>
    <w:rsid w:val="00A81A93"/>
    <w:rsid w:val="00A83907"/>
    <w:rsid w:val="00AB2D39"/>
    <w:rsid w:val="00AF63EE"/>
    <w:rsid w:val="00B1178A"/>
    <w:rsid w:val="00B53042"/>
    <w:rsid w:val="00B55DA3"/>
    <w:rsid w:val="00B62991"/>
    <w:rsid w:val="00BA7D28"/>
    <w:rsid w:val="00BC6625"/>
    <w:rsid w:val="00BD3600"/>
    <w:rsid w:val="00BD7234"/>
    <w:rsid w:val="00BD7E03"/>
    <w:rsid w:val="00BE0185"/>
    <w:rsid w:val="00BE6D03"/>
    <w:rsid w:val="00BF74D4"/>
    <w:rsid w:val="00C120B8"/>
    <w:rsid w:val="00C17F2D"/>
    <w:rsid w:val="00C25344"/>
    <w:rsid w:val="00C27F6C"/>
    <w:rsid w:val="00C31CCE"/>
    <w:rsid w:val="00C54145"/>
    <w:rsid w:val="00C6457A"/>
    <w:rsid w:val="00C74ED9"/>
    <w:rsid w:val="00C75BD9"/>
    <w:rsid w:val="00C75CE3"/>
    <w:rsid w:val="00C764E4"/>
    <w:rsid w:val="00C828E0"/>
    <w:rsid w:val="00C97DE7"/>
    <w:rsid w:val="00CA55FC"/>
    <w:rsid w:val="00CF2295"/>
    <w:rsid w:val="00CF36C7"/>
    <w:rsid w:val="00CF3BE8"/>
    <w:rsid w:val="00CF4574"/>
    <w:rsid w:val="00D03005"/>
    <w:rsid w:val="00D909F1"/>
    <w:rsid w:val="00D976AD"/>
    <w:rsid w:val="00DA36CB"/>
    <w:rsid w:val="00DA5E53"/>
    <w:rsid w:val="00DC70A3"/>
    <w:rsid w:val="00DD2A3C"/>
    <w:rsid w:val="00DD44C7"/>
    <w:rsid w:val="00DE0C54"/>
    <w:rsid w:val="00DE2596"/>
    <w:rsid w:val="00DF6EE5"/>
    <w:rsid w:val="00E31820"/>
    <w:rsid w:val="00E379C9"/>
    <w:rsid w:val="00E42FF6"/>
    <w:rsid w:val="00E77688"/>
    <w:rsid w:val="00E80ACE"/>
    <w:rsid w:val="00E9594C"/>
    <w:rsid w:val="00E95AD3"/>
    <w:rsid w:val="00EC4B9B"/>
    <w:rsid w:val="00ED58EB"/>
    <w:rsid w:val="00F03277"/>
    <w:rsid w:val="00F2248D"/>
    <w:rsid w:val="00F2426E"/>
    <w:rsid w:val="00F301E2"/>
    <w:rsid w:val="00F32D1A"/>
    <w:rsid w:val="00F3409A"/>
    <w:rsid w:val="00F71CB2"/>
    <w:rsid w:val="00F7738C"/>
    <w:rsid w:val="00F77C3F"/>
    <w:rsid w:val="00F85DEE"/>
    <w:rsid w:val="00FB442C"/>
    <w:rsid w:val="00FB7F64"/>
    <w:rsid w:val="00FC12AF"/>
    <w:rsid w:val="00FD03BA"/>
    <w:rsid w:val="00FE406F"/>
    <w:rsid w:val="00FF14C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D610A"/>
  <w15:docId w15:val="{CB746187-D5C5-493A-B84A-0F27DFE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31C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F31C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F0C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6506"/>
    <w:pPr>
      <w:ind w:left="720"/>
      <w:contextualSpacing/>
    </w:pPr>
    <w:rPr>
      <w:rFonts w:ascii="Cambria" w:eastAsia="MS Minngs" w:hAnsi="Cambria"/>
      <w:lang w:eastAsia="en-US"/>
    </w:rPr>
  </w:style>
  <w:style w:type="paragraph" w:styleId="Textodenotaderodap">
    <w:name w:val="footnote text"/>
    <w:basedOn w:val="Normal"/>
    <w:link w:val="TextodenotaderodapCarter"/>
    <w:rsid w:val="00883A05"/>
  </w:style>
  <w:style w:type="character" w:customStyle="1" w:styleId="TextodenotaderodapCarter">
    <w:name w:val="Texto de nota de rodapé Caráter"/>
    <w:basedOn w:val="Tipodeletrapredefinidodopargrafo"/>
    <w:link w:val="Textodenotaderodap"/>
    <w:rsid w:val="00883A05"/>
    <w:rPr>
      <w:sz w:val="24"/>
      <w:szCs w:val="24"/>
      <w:lang w:eastAsia="pt-PT"/>
    </w:rPr>
  </w:style>
  <w:style w:type="character" w:styleId="Refdenotaderodap">
    <w:name w:val="footnote reference"/>
    <w:basedOn w:val="Tipodeletrapredefinidodopargrafo"/>
    <w:rsid w:val="00883A05"/>
    <w:rPr>
      <w:vertAlign w:val="superscript"/>
    </w:rPr>
  </w:style>
  <w:style w:type="paragraph" w:styleId="Corpodetexto">
    <w:name w:val="Body Text"/>
    <w:basedOn w:val="Normal"/>
    <w:link w:val="CorpodetextoCarter"/>
    <w:rsid w:val="00653894"/>
    <w:pPr>
      <w:spacing w:after="220" w:line="24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894"/>
    <w:rPr>
      <w:rFonts w:ascii="Garamond" w:hAnsi="Garamond"/>
      <w:sz w:val="22"/>
      <w:szCs w:val="22"/>
      <w:lang w:val="en-GB" w:eastAsia="zh-CN"/>
    </w:rPr>
  </w:style>
  <w:style w:type="paragraph" w:customStyle="1" w:styleId="Default">
    <w:name w:val="Default"/>
    <w:rsid w:val="00F77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entitem">
    <w:name w:val="parent_item"/>
    <w:basedOn w:val="Normal"/>
    <w:rsid w:val="005B1B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oitem">
    <w:name w:val="texto_item"/>
    <w:basedOn w:val="Normal"/>
    <w:rsid w:val="005B1B1B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2A9E"/>
    <w:rPr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unhideWhenUsed/>
    <w:rsid w:val="00C74ED9"/>
  </w:style>
  <w:style w:type="paragraph" w:styleId="Subttulo">
    <w:name w:val="Subtitle"/>
    <w:basedOn w:val="Normal"/>
    <w:next w:val="Normal"/>
    <w:link w:val="SubttuloCarter"/>
    <w:uiPriority w:val="11"/>
    <w:qFormat/>
    <w:rsid w:val="00F7738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77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0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434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70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645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05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431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773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2941-7921-8048-9588-ECE7B7D7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FDUNL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Manso</dc:creator>
  <cp:keywords/>
  <dc:description/>
  <cp:lastModifiedBy>Lúcio Tomé Féteira</cp:lastModifiedBy>
  <cp:revision>5</cp:revision>
  <cp:lastPrinted>2006-10-03T09:13:00Z</cp:lastPrinted>
  <dcterms:created xsi:type="dcterms:W3CDTF">2019-01-29T15:34:00Z</dcterms:created>
  <dcterms:modified xsi:type="dcterms:W3CDTF">2019-12-08T23:47:00Z</dcterms:modified>
</cp:coreProperties>
</file>